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AE4D"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rPr>
        <w:t>KLASA: 40</w:t>
      </w:r>
      <w:r w:rsidRPr="00BC0D0B">
        <w:rPr>
          <w:rFonts w:asciiTheme="majorHAnsi" w:hAnsiTheme="majorHAnsi" w:cstheme="majorHAnsi"/>
          <w:lang w:val="hr-HR"/>
        </w:rPr>
        <w:t>2-08/20-01/15</w:t>
      </w:r>
    </w:p>
    <w:p w14:paraId="56B29384"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URBROJ: 2176/04-03-20-1 </w:t>
      </w:r>
    </w:p>
    <w:p w14:paraId="1BD21D1A"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Novska, 25. veljače  2020.  </w:t>
      </w:r>
    </w:p>
    <w:p w14:paraId="66B3225E" w14:textId="77777777" w:rsidR="00BC0D0B" w:rsidRPr="00BC0D0B" w:rsidRDefault="00BC0D0B" w:rsidP="00BC0D0B">
      <w:pPr>
        <w:ind w:left="-426"/>
        <w:jc w:val="both"/>
        <w:rPr>
          <w:rFonts w:asciiTheme="majorHAnsi" w:hAnsiTheme="majorHAnsi" w:cstheme="majorHAnsi"/>
          <w:lang w:val="hr-HR"/>
        </w:rPr>
      </w:pPr>
    </w:p>
    <w:p w14:paraId="013A6BA2" w14:textId="42DBEA46" w:rsid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Temeljem članka 3. Zakona o fiskalnoj odgovornosti (NN 111/18) , članka 7. Uredbe o sastavljanju i predaji izjave o fiskalnoj odgovornosti i izvještaja o primjeni fiskalnih pravila (NN 95/19), te  članka 46. Statuta Grada Novske (“Službeni vjesnik”  broj 24/09, 47/10, 29/11, 3/13,  8/13, 39/14, 4/18 i 15/18 – ispravak,  gradonačelnik Grada Novske  dana 25. veljače 2020. godine donio je </w:t>
      </w:r>
    </w:p>
    <w:p w14:paraId="09B752FA" w14:textId="77777777" w:rsidR="00BC0D0B" w:rsidRPr="00BC0D0B" w:rsidRDefault="00BC0D0B" w:rsidP="00BC0D0B">
      <w:pPr>
        <w:ind w:left="-426"/>
        <w:jc w:val="both"/>
        <w:rPr>
          <w:rFonts w:asciiTheme="majorHAnsi" w:hAnsiTheme="majorHAnsi" w:cstheme="majorHAnsi"/>
          <w:lang w:val="hr-HR"/>
        </w:rPr>
      </w:pPr>
    </w:p>
    <w:p w14:paraId="393FE684" w14:textId="77777777" w:rsidR="00BC0D0B" w:rsidRPr="00BC0D0B" w:rsidRDefault="00BC0D0B" w:rsidP="00BC0D0B">
      <w:pPr>
        <w:ind w:left="-426"/>
        <w:jc w:val="both"/>
        <w:rPr>
          <w:rFonts w:asciiTheme="majorHAnsi" w:hAnsiTheme="majorHAnsi" w:cstheme="majorHAnsi"/>
          <w:lang w:val="hr-HR"/>
        </w:rPr>
      </w:pPr>
    </w:p>
    <w:p w14:paraId="637B266D"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PROCEDURU O MJERILIMA I NAČINU KORIŠTENJA VLASTITIH PRIHODA</w:t>
      </w:r>
    </w:p>
    <w:p w14:paraId="067E0C0D" w14:textId="5C8D6900" w:rsid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PRORAČUNSKIH KORISNIKA</w:t>
      </w:r>
    </w:p>
    <w:p w14:paraId="38021492" w14:textId="77777777" w:rsidR="00BC0D0B" w:rsidRPr="00BC0D0B" w:rsidRDefault="00BC0D0B" w:rsidP="00BC0D0B">
      <w:pPr>
        <w:ind w:left="-426"/>
        <w:jc w:val="center"/>
        <w:rPr>
          <w:rFonts w:asciiTheme="majorHAnsi" w:hAnsiTheme="majorHAnsi" w:cstheme="majorHAnsi"/>
          <w:b/>
          <w:bCs/>
          <w:lang w:val="hr-HR"/>
        </w:rPr>
      </w:pPr>
    </w:p>
    <w:p w14:paraId="2CA10A24" w14:textId="77777777" w:rsidR="00BC0D0B" w:rsidRPr="00BC0D0B" w:rsidRDefault="00BC0D0B" w:rsidP="00BC0D0B">
      <w:pPr>
        <w:ind w:left="-426"/>
        <w:jc w:val="center"/>
        <w:rPr>
          <w:rFonts w:asciiTheme="majorHAnsi" w:hAnsiTheme="majorHAnsi" w:cstheme="majorHAnsi"/>
          <w:b/>
          <w:bCs/>
          <w:lang w:val="hr-HR"/>
        </w:rPr>
      </w:pPr>
    </w:p>
    <w:p w14:paraId="390EE27E"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1.</w:t>
      </w:r>
    </w:p>
    <w:p w14:paraId="0B13C655"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Odredbama ove Procedure utvrđuje se način korištenja  prihoda koje proračunski korisnici Grada Novske ostvare na tržištu od obavljanja osnovne djelatnosti i drugih djelatnosti za koje su registrirani.</w:t>
      </w:r>
    </w:p>
    <w:p w14:paraId="10AC5418" w14:textId="77777777" w:rsidR="00BC0D0B" w:rsidRPr="00BC0D0B" w:rsidRDefault="00BC0D0B" w:rsidP="00BC0D0B">
      <w:pPr>
        <w:ind w:left="-426"/>
        <w:jc w:val="both"/>
        <w:rPr>
          <w:rFonts w:asciiTheme="majorHAnsi" w:hAnsiTheme="majorHAnsi" w:cstheme="majorHAnsi"/>
          <w:lang w:val="hr-HR"/>
        </w:rPr>
      </w:pPr>
    </w:p>
    <w:p w14:paraId="3E22CC73"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Odredbe ove Procedure ne odnose se na prihode koje Grad Novska doznačuje proračunskim korisnicima, na prihode koje  proračunski korisnici ostvare po posebnim namjenama, na prihode od donacija, na prihode pomoći od drugih proračuna te na prihode od osiguranja i prodaje nefinancijske imovine. </w:t>
      </w:r>
    </w:p>
    <w:p w14:paraId="580A264D" w14:textId="77777777" w:rsidR="00BC0D0B" w:rsidRPr="00BC0D0B" w:rsidRDefault="00BC0D0B" w:rsidP="00BC0D0B">
      <w:pPr>
        <w:ind w:left="-426"/>
        <w:jc w:val="both"/>
        <w:rPr>
          <w:rFonts w:asciiTheme="majorHAnsi" w:hAnsiTheme="majorHAnsi" w:cstheme="majorHAnsi"/>
          <w:lang w:val="hr-HR"/>
        </w:rPr>
      </w:pPr>
    </w:p>
    <w:p w14:paraId="186C3F9A"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2.</w:t>
      </w:r>
    </w:p>
    <w:p w14:paraId="0BD0B271"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Proračunski korisnici Grada Novske su: </w:t>
      </w:r>
    </w:p>
    <w:p w14:paraId="605A5511" w14:textId="77777777" w:rsidR="00BC0D0B" w:rsidRPr="00BC0D0B" w:rsidRDefault="00BC0D0B" w:rsidP="00BC0D0B">
      <w:pPr>
        <w:ind w:left="-426"/>
        <w:jc w:val="both"/>
        <w:rPr>
          <w:rFonts w:asciiTheme="majorHAnsi" w:hAnsiTheme="majorHAnsi" w:cstheme="majorHAnsi"/>
          <w:lang w:val="hr-HR"/>
        </w:rPr>
      </w:pPr>
    </w:p>
    <w:tbl>
      <w:tblPr>
        <w:tblStyle w:val="TableGrid"/>
        <w:tblW w:w="9067" w:type="dxa"/>
        <w:tblLayout w:type="fixed"/>
        <w:tblLook w:val="04A0" w:firstRow="1" w:lastRow="0" w:firstColumn="1" w:lastColumn="0" w:noHBand="0" w:noVBand="1"/>
      </w:tblPr>
      <w:tblGrid>
        <w:gridCol w:w="846"/>
        <w:gridCol w:w="2693"/>
        <w:gridCol w:w="1843"/>
        <w:gridCol w:w="1701"/>
        <w:gridCol w:w="1984"/>
      </w:tblGrid>
      <w:tr w:rsidR="00BC0D0B" w:rsidRPr="00BC0D0B" w14:paraId="7509BF1E" w14:textId="77777777" w:rsidTr="00BC0D0B">
        <w:tc>
          <w:tcPr>
            <w:tcW w:w="846" w:type="dxa"/>
            <w:shd w:val="clear" w:color="auto" w:fill="D9D9D9" w:themeFill="background1" w:themeFillShade="D9"/>
          </w:tcPr>
          <w:p w14:paraId="047E59FA"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R. br.</w:t>
            </w:r>
          </w:p>
        </w:tc>
        <w:tc>
          <w:tcPr>
            <w:tcW w:w="2693" w:type="dxa"/>
            <w:shd w:val="clear" w:color="auto" w:fill="D9D9D9" w:themeFill="background1" w:themeFillShade="D9"/>
          </w:tcPr>
          <w:p w14:paraId="7E4E7567"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Proračunski korisnici</w:t>
            </w:r>
          </w:p>
        </w:tc>
        <w:tc>
          <w:tcPr>
            <w:tcW w:w="1843" w:type="dxa"/>
            <w:shd w:val="clear" w:color="auto" w:fill="D9D9D9" w:themeFill="background1" w:themeFillShade="D9"/>
          </w:tcPr>
          <w:p w14:paraId="22FAE95B"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Matični broj</w:t>
            </w:r>
          </w:p>
          <w:p w14:paraId="0ED70222" w14:textId="77777777" w:rsidR="00BC0D0B" w:rsidRPr="00BC0D0B" w:rsidRDefault="00BC0D0B" w:rsidP="00F71A5B">
            <w:pPr>
              <w:jc w:val="center"/>
              <w:rPr>
                <w:rFonts w:asciiTheme="majorHAnsi" w:hAnsiTheme="majorHAnsi" w:cstheme="majorHAnsi"/>
                <w:sz w:val="24"/>
                <w:szCs w:val="24"/>
                <w:lang w:val="hr-HR"/>
              </w:rPr>
            </w:pPr>
          </w:p>
        </w:tc>
        <w:tc>
          <w:tcPr>
            <w:tcW w:w="1701" w:type="dxa"/>
            <w:shd w:val="clear" w:color="auto" w:fill="D9D9D9" w:themeFill="background1" w:themeFillShade="D9"/>
          </w:tcPr>
          <w:p w14:paraId="69797D0F"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OIB</w:t>
            </w:r>
          </w:p>
        </w:tc>
        <w:tc>
          <w:tcPr>
            <w:tcW w:w="1984" w:type="dxa"/>
            <w:shd w:val="clear" w:color="auto" w:fill="D9D9D9" w:themeFill="background1" w:themeFillShade="D9"/>
          </w:tcPr>
          <w:p w14:paraId="74BF96D1"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Registarski broj</w:t>
            </w:r>
          </w:p>
        </w:tc>
      </w:tr>
      <w:tr w:rsidR="00BC0D0B" w:rsidRPr="00BC0D0B" w14:paraId="63457FA5" w14:textId="77777777" w:rsidTr="00BC0D0B">
        <w:tc>
          <w:tcPr>
            <w:tcW w:w="846" w:type="dxa"/>
          </w:tcPr>
          <w:p w14:paraId="11F5D105" w14:textId="77777777" w:rsidR="00BC0D0B" w:rsidRPr="00BC0D0B" w:rsidRDefault="00BC0D0B" w:rsidP="00F71A5B">
            <w:pPr>
              <w:jc w:val="both"/>
              <w:rPr>
                <w:rFonts w:asciiTheme="majorHAnsi" w:hAnsiTheme="majorHAnsi" w:cstheme="majorHAnsi"/>
                <w:sz w:val="24"/>
                <w:szCs w:val="24"/>
                <w:lang w:val="hr-HR"/>
              </w:rPr>
            </w:pPr>
            <w:r w:rsidRPr="00BC0D0B">
              <w:rPr>
                <w:rFonts w:asciiTheme="majorHAnsi" w:hAnsiTheme="majorHAnsi" w:cstheme="majorHAnsi"/>
                <w:sz w:val="24"/>
                <w:szCs w:val="24"/>
                <w:lang w:val="hr-HR"/>
              </w:rPr>
              <w:t>1.</w:t>
            </w:r>
          </w:p>
        </w:tc>
        <w:tc>
          <w:tcPr>
            <w:tcW w:w="2693" w:type="dxa"/>
          </w:tcPr>
          <w:p w14:paraId="1E606EAE" w14:textId="77777777" w:rsidR="00BC0D0B" w:rsidRPr="00BC0D0B" w:rsidRDefault="00BC0D0B" w:rsidP="00F71A5B">
            <w:pPr>
              <w:rPr>
                <w:rFonts w:asciiTheme="majorHAnsi" w:hAnsiTheme="majorHAnsi" w:cstheme="majorHAnsi"/>
                <w:sz w:val="24"/>
                <w:szCs w:val="24"/>
                <w:lang w:val="hr-HR"/>
              </w:rPr>
            </w:pPr>
            <w:r w:rsidRPr="00BC0D0B">
              <w:rPr>
                <w:rFonts w:asciiTheme="majorHAnsi" w:hAnsiTheme="majorHAnsi" w:cstheme="majorHAnsi"/>
                <w:sz w:val="24"/>
                <w:szCs w:val="24"/>
                <w:lang w:val="hr-HR"/>
              </w:rPr>
              <w:t>Dječji vrtić „Radost“ Novska</w:t>
            </w:r>
          </w:p>
        </w:tc>
        <w:tc>
          <w:tcPr>
            <w:tcW w:w="1843" w:type="dxa"/>
          </w:tcPr>
          <w:p w14:paraId="7482D616"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03208206</w:t>
            </w:r>
          </w:p>
        </w:tc>
        <w:tc>
          <w:tcPr>
            <w:tcW w:w="1701" w:type="dxa"/>
          </w:tcPr>
          <w:p w14:paraId="5A5BF1C4"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65737381445</w:t>
            </w:r>
          </w:p>
        </w:tc>
        <w:tc>
          <w:tcPr>
            <w:tcW w:w="1984" w:type="dxa"/>
          </w:tcPr>
          <w:p w14:paraId="1456DC13"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28942</w:t>
            </w:r>
          </w:p>
        </w:tc>
      </w:tr>
      <w:tr w:rsidR="00BC0D0B" w:rsidRPr="00BC0D0B" w14:paraId="4F45092E" w14:textId="77777777" w:rsidTr="00BC0D0B">
        <w:tc>
          <w:tcPr>
            <w:tcW w:w="846" w:type="dxa"/>
          </w:tcPr>
          <w:p w14:paraId="7C3EC65D" w14:textId="77777777" w:rsidR="00BC0D0B" w:rsidRPr="00BC0D0B" w:rsidRDefault="00BC0D0B" w:rsidP="00F71A5B">
            <w:pPr>
              <w:jc w:val="both"/>
              <w:rPr>
                <w:rFonts w:asciiTheme="majorHAnsi" w:hAnsiTheme="majorHAnsi" w:cstheme="majorHAnsi"/>
                <w:sz w:val="24"/>
                <w:szCs w:val="24"/>
                <w:lang w:val="hr-HR"/>
              </w:rPr>
            </w:pPr>
            <w:r w:rsidRPr="00BC0D0B">
              <w:rPr>
                <w:rFonts w:asciiTheme="majorHAnsi" w:hAnsiTheme="majorHAnsi" w:cstheme="majorHAnsi"/>
                <w:sz w:val="24"/>
                <w:szCs w:val="24"/>
                <w:lang w:val="hr-HR"/>
              </w:rPr>
              <w:t>2.</w:t>
            </w:r>
          </w:p>
        </w:tc>
        <w:tc>
          <w:tcPr>
            <w:tcW w:w="2693" w:type="dxa"/>
          </w:tcPr>
          <w:p w14:paraId="0F4CCD6E" w14:textId="77777777" w:rsidR="00BC0D0B" w:rsidRPr="00BC0D0B" w:rsidRDefault="00BC0D0B" w:rsidP="00F71A5B">
            <w:pPr>
              <w:rPr>
                <w:rFonts w:asciiTheme="majorHAnsi" w:hAnsiTheme="majorHAnsi" w:cstheme="majorHAnsi"/>
                <w:sz w:val="24"/>
                <w:szCs w:val="24"/>
                <w:lang w:val="hr-HR"/>
              </w:rPr>
            </w:pPr>
            <w:r w:rsidRPr="00BC0D0B">
              <w:rPr>
                <w:rFonts w:asciiTheme="majorHAnsi" w:hAnsiTheme="majorHAnsi" w:cstheme="majorHAnsi"/>
                <w:sz w:val="24"/>
                <w:szCs w:val="24"/>
                <w:lang w:val="hr-HR"/>
              </w:rPr>
              <w:t>Pučko otvoreno učilište Novska</w:t>
            </w:r>
          </w:p>
        </w:tc>
        <w:tc>
          <w:tcPr>
            <w:tcW w:w="1843" w:type="dxa"/>
          </w:tcPr>
          <w:p w14:paraId="1071C151"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03202321</w:t>
            </w:r>
          </w:p>
        </w:tc>
        <w:tc>
          <w:tcPr>
            <w:tcW w:w="1701" w:type="dxa"/>
          </w:tcPr>
          <w:p w14:paraId="7711F76C"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87624359246</w:t>
            </w:r>
          </w:p>
        </w:tc>
        <w:tc>
          <w:tcPr>
            <w:tcW w:w="1984" w:type="dxa"/>
          </w:tcPr>
          <w:p w14:paraId="074DD084"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28926</w:t>
            </w:r>
          </w:p>
        </w:tc>
      </w:tr>
      <w:tr w:rsidR="00BC0D0B" w:rsidRPr="00BC0D0B" w14:paraId="2E92015B" w14:textId="77777777" w:rsidTr="00BC0D0B">
        <w:tc>
          <w:tcPr>
            <w:tcW w:w="846" w:type="dxa"/>
          </w:tcPr>
          <w:p w14:paraId="267E1084" w14:textId="77777777" w:rsidR="00BC0D0B" w:rsidRPr="00BC0D0B" w:rsidRDefault="00BC0D0B" w:rsidP="00F71A5B">
            <w:pPr>
              <w:jc w:val="both"/>
              <w:rPr>
                <w:rFonts w:asciiTheme="majorHAnsi" w:hAnsiTheme="majorHAnsi" w:cstheme="majorHAnsi"/>
                <w:sz w:val="24"/>
                <w:szCs w:val="24"/>
                <w:lang w:val="hr-HR"/>
              </w:rPr>
            </w:pPr>
            <w:r w:rsidRPr="00BC0D0B">
              <w:rPr>
                <w:rFonts w:asciiTheme="majorHAnsi" w:hAnsiTheme="majorHAnsi" w:cstheme="majorHAnsi"/>
                <w:sz w:val="24"/>
                <w:szCs w:val="24"/>
                <w:lang w:val="hr-HR"/>
              </w:rPr>
              <w:t>3.</w:t>
            </w:r>
          </w:p>
        </w:tc>
        <w:tc>
          <w:tcPr>
            <w:tcW w:w="2693" w:type="dxa"/>
          </w:tcPr>
          <w:p w14:paraId="4D4C5385" w14:textId="77777777" w:rsidR="00BC0D0B" w:rsidRPr="00BC0D0B" w:rsidRDefault="00BC0D0B" w:rsidP="00F71A5B">
            <w:pPr>
              <w:rPr>
                <w:rFonts w:asciiTheme="majorHAnsi" w:hAnsiTheme="majorHAnsi" w:cstheme="majorHAnsi"/>
                <w:sz w:val="24"/>
                <w:szCs w:val="24"/>
                <w:lang w:val="hr-HR"/>
              </w:rPr>
            </w:pPr>
            <w:r w:rsidRPr="00BC0D0B">
              <w:rPr>
                <w:rFonts w:asciiTheme="majorHAnsi" w:hAnsiTheme="majorHAnsi" w:cstheme="majorHAnsi"/>
                <w:sz w:val="24"/>
                <w:szCs w:val="24"/>
                <w:lang w:val="hr-HR"/>
              </w:rPr>
              <w:t>Gradska knjižnica i čitaonica Ante Jagar Novska</w:t>
            </w:r>
          </w:p>
        </w:tc>
        <w:tc>
          <w:tcPr>
            <w:tcW w:w="1843" w:type="dxa"/>
          </w:tcPr>
          <w:p w14:paraId="042CFEAB"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05036259</w:t>
            </w:r>
          </w:p>
        </w:tc>
        <w:tc>
          <w:tcPr>
            <w:tcW w:w="1701" w:type="dxa"/>
          </w:tcPr>
          <w:p w14:paraId="4D32A86F"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41385169887</w:t>
            </w:r>
          </w:p>
        </w:tc>
        <w:tc>
          <w:tcPr>
            <w:tcW w:w="1984" w:type="dxa"/>
          </w:tcPr>
          <w:p w14:paraId="2B747AA6"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28934</w:t>
            </w:r>
          </w:p>
        </w:tc>
      </w:tr>
      <w:tr w:rsidR="00BC0D0B" w:rsidRPr="00BC0D0B" w14:paraId="7181319D" w14:textId="77777777" w:rsidTr="00BC0D0B">
        <w:trPr>
          <w:trHeight w:val="533"/>
        </w:trPr>
        <w:tc>
          <w:tcPr>
            <w:tcW w:w="846" w:type="dxa"/>
          </w:tcPr>
          <w:p w14:paraId="324ACBBD" w14:textId="77777777" w:rsidR="00BC0D0B" w:rsidRPr="00BC0D0B" w:rsidRDefault="00BC0D0B" w:rsidP="00F71A5B">
            <w:pPr>
              <w:jc w:val="both"/>
              <w:rPr>
                <w:rFonts w:asciiTheme="majorHAnsi" w:hAnsiTheme="majorHAnsi" w:cstheme="majorHAnsi"/>
                <w:sz w:val="24"/>
                <w:szCs w:val="24"/>
                <w:lang w:val="hr-HR"/>
              </w:rPr>
            </w:pPr>
            <w:r w:rsidRPr="00BC0D0B">
              <w:rPr>
                <w:rFonts w:asciiTheme="majorHAnsi" w:hAnsiTheme="majorHAnsi" w:cstheme="majorHAnsi"/>
                <w:sz w:val="24"/>
                <w:szCs w:val="24"/>
                <w:lang w:val="hr-HR"/>
              </w:rPr>
              <w:t>4.</w:t>
            </w:r>
          </w:p>
        </w:tc>
        <w:tc>
          <w:tcPr>
            <w:tcW w:w="2693" w:type="dxa"/>
          </w:tcPr>
          <w:p w14:paraId="7A76D6AA" w14:textId="77777777" w:rsidR="00BC0D0B" w:rsidRPr="00BC0D0B" w:rsidRDefault="00BC0D0B" w:rsidP="00F71A5B">
            <w:pPr>
              <w:rPr>
                <w:rFonts w:asciiTheme="majorHAnsi" w:hAnsiTheme="majorHAnsi" w:cstheme="majorHAnsi"/>
                <w:sz w:val="24"/>
                <w:szCs w:val="24"/>
                <w:lang w:val="hr-HR"/>
              </w:rPr>
            </w:pPr>
            <w:r w:rsidRPr="00BC0D0B">
              <w:rPr>
                <w:rFonts w:asciiTheme="majorHAnsi" w:hAnsiTheme="majorHAnsi" w:cstheme="majorHAnsi"/>
                <w:sz w:val="24"/>
                <w:szCs w:val="24"/>
                <w:lang w:val="hr-HR"/>
              </w:rPr>
              <w:t>Javna vatrogasna postrojba Grada Novske</w:t>
            </w:r>
          </w:p>
        </w:tc>
        <w:tc>
          <w:tcPr>
            <w:tcW w:w="1843" w:type="dxa"/>
          </w:tcPr>
          <w:p w14:paraId="3C164320"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05036259</w:t>
            </w:r>
          </w:p>
        </w:tc>
        <w:tc>
          <w:tcPr>
            <w:tcW w:w="1701" w:type="dxa"/>
          </w:tcPr>
          <w:p w14:paraId="3D19F6C5"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92441653907</w:t>
            </w:r>
          </w:p>
        </w:tc>
        <w:tc>
          <w:tcPr>
            <w:tcW w:w="1984" w:type="dxa"/>
          </w:tcPr>
          <w:p w14:paraId="281CBCBC" w14:textId="77777777" w:rsidR="00BC0D0B" w:rsidRPr="00BC0D0B" w:rsidRDefault="00BC0D0B" w:rsidP="00F71A5B">
            <w:pPr>
              <w:jc w:val="center"/>
              <w:rPr>
                <w:rFonts w:asciiTheme="majorHAnsi" w:hAnsiTheme="majorHAnsi" w:cstheme="majorHAnsi"/>
                <w:sz w:val="24"/>
                <w:szCs w:val="24"/>
                <w:lang w:val="hr-HR"/>
              </w:rPr>
            </w:pPr>
            <w:r w:rsidRPr="00BC0D0B">
              <w:rPr>
                <w:rFonts w:asciiTheme="majorHAnsi" w:hAnsiTheme="majorHAnsi" w:cstheme="majorHAnsi"/>
                <w:sz w:val="24"/>
                <w:szCs w:val="24"/>
                <w:lang w:val="hr-HR"/>
              </w:rPr>
              <w:t>50686</w:t>
            </w:r>
          </w:p>
        </w:tc>
      </w:tr>
    </w:tbl>
    <w:p w14:paraId="04595285" w14:textId="77777777" w:rsidR="00BC0D0B" w:rsidRPr="00BC0D0B" w:rsidRDefault="00BC0D0B" w:rsidP="00BC0D0B">
      <w:pPr>
        <w:jc w:val="both"/>
        <w:rPr>
          <w:rFonts w:asciiTheme="majorHAnsi" w:hAnsiTheme="majorHAnsi" w:cstheme="majorHAnsi"/>
          <w:lang w:val="hr-HR"/>
        </w:rPr>
      </w:pPr>
    </w:p>
    <w:p w14:paraId="71BF5CCE" w14:textId="77777777" w:rsidR="00BC0D0B" w:rsidRPr="00BC0D0B" w:rsidRDefault="00BC0D0B" w:rsidP="00BC0D0B">
      <w:pPr>
        <w:jc w:val="center"/>
        <w:rPr>
          <w:rFonts w:asciiTheme="majorHAnsi" w:hAnsiTheme="majorHAnsi" w:cstheme="majorHAnsi"/>
          <w:b/>
          <w:bCs/>
          <w:lang w:val="hr-HR"/>
        </w:rPr>
      </w:pPr>
    </w:p>
    <w:p w14:paraId="55583648" w14:textId="4FF1F629" w:rsidR="00BC0D0B" w:rsidRDefault="00BC0D0B" w:rsidP="00BC0D0B">
      <w:pPr>
        <w:jc w:val="center"/>
        <w:rPr>
          <w:rFonts w:asciiTheme="majorHAnsi" w:hAnsiTheme="majorHAnsi" w:cstheme="majorHAnsi"/>
          <w:b/>
          <w:bCs/>
          <w:lang w:val="hr-HR"/>
        </w:rPr>
      </w:pPr>
    </w:p>
    <w:p w14:paraId="107D5ACA" w14:textId="2036E431" w:rsidR="00BC0D0B" w:rsidRDefault="00BC0D0B" w:rsidP="00BC0D0B">
      <w:pPr>
        <w:jc w:val="center"/>
        <w:rPr>
          <w:rFonts w:asciiTheme="majorHAnsi" w:hAnsiTheme="majorHAnsi" w:cstheme="majorHAnsi"/>
          <w:b/>
          <w:bCs/>
          <w:lang w:val="hr-HR"/>
        </w:rPr>
      </w:pPr>
    </w:p>
    <w:p w14:paraId="74DCFAC6" w14:textId="77777777" w:rsidR="00BC0D0B" w:rsidRPr="00BC0D0B" w:rsidRDefault="00BC0D0B" w:rsidP="00BC0D0B">
      <w:pPr>
        <w:jc w:val="center"/>
        <w:rPr>
          <w:rFonts w:asciiTheme="majorHAnsi" w:hAnsiTheme="majorHAnsi" w:cstheme="majorHAnsi"/>
          <w:b/>
          <w:bCs/>
          <w:lang w:val="hr-HR"/>
        </w:rPr>
      </w:pPr>
    </w:p>
    <w:p w14:paraId="34275447" w14:textId="77777777" w:rsidR="00BC0D0B" w:rsidRPr="00BC0D0B" w:rsidRDefault="00BC0D0B" w:rsidP="00BC0D0B">
      <w:pPr>
        <w:jc w:val="center"/>
        <w:rPr>
          <w:rFonts w:asciiTheme="majorHAnsi" w:hAnsiTheme="majorHAnsi" w:cstheme="majorHAnsi"/>
          <w:b/>
          <w:bCs/>
          <w:lang w:val="hr-HR"/>
        </w:rPr>
      </w:pPr>
    </w:p>
    <w:p w14:paraId="63D905C0"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3.</w:t>
      </w:r>
    </w:p>
    <w:p w14:paraId="17BE8E6A"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Prihodi koje proračunski korisnici ostvare obavljanjem poslova na tržištu (vlastiti prihodi), prihodi su proračunskih korisnika koji se  planiraju  u financijskim planovima proračunskih korisnika i  koji su sastavni dio proračuna Grada Novske, a koji se koriste sukladno financijskim planovima proračunskih korisnika. </w:t>
      </w:r>
    </w:p>
    <w:p w14:paraId="046A2F0F" w14:textId="77777777" w:rsidR="00BC0D0B" w:rsidRPr="00BC0D0B" w:rsidRDefault="00BC0D0B" w:rsidP="00BC0D0B">
      <w:pPr>
        <w:ind w:left="-426"/>
        <w:jc w:val="both"/>
        <w:rPr>
          <w:rFonts w:asciiTheme="majorHAnsi" w:hAnsiTheme="majorHAnsi" w:cstheme="majorHAnsi"/>
          <w:lang w:val="hr-HR"/>
        </w:rPr>
      </w:pPr>
    </w:p>
    <w:p w14:paraId="789C0EEA"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Proračunski korisnici ostvaruju vlastite prihode bez prethodne suglasnosti nadležnog upravnog tijela. </w:t>
      </w:r>
    </w:p>
    <w:p w14:paraId="15F51741" w14:textId="77777777" w:rsidR="00BC0D0B" w:rsidRPr="00BC0D0B" w:rsidRDefault="00BC0D0B" w:rsidP="00BC0D0B">
      <w:pPr>
        <w:ind w:left="-426"/>
        <w:jc w:val="both"/>
        <w:rPr>
          <w:rFonts w:asciiTheme="majorHAnsi" w:hAnsiTheme="majorHAnsi" w:cstheme="majorHAnsi"/>
          <w:lang w:val="hr-HR"/>
        </w:rPr>
      </w:pPr>
    </w:p>
    <w:p w14:paraId="7689CFFB"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Vlastiti prihodi proračunskih korisnika uplaćuju se  na žiro-račun Grada Novske za proračunske korisnike koji su u sustavu riznice, odnosno na žiro-račun proračunskog korisnika koji nije u sustavu riznice. </w:t>
      </w:r>
    </w:p>
    <w:p w14:paraId="1FFCD94E"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4.</w:t>
      </w:r>
    </w:p>
    <w:p w14:paraId="42294866"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Vlastite prihode proračunski korisnici koriste za obavljanje svoje osnovne djelatnosti. </w:t>
      </w:r>
    </w:p>
    <w:p w14:paraId="44CB3A56" w14:textId="77777777" w:rsidR="00BC0D0B" w:rsidRPr="00BC0D0B" w:rsidRDefault="00BC0D0B" w:rsidP="00BC0D0B">
      <w:pPr>
        <w:ind w:left="-426"/>
        <w:jc w:val="both"/>
        <w:rPr>
          <w:rFonts w:asciiTheme="majorHAnsi" w:hAnsiTheme="majorHAnsi" w:cstheme="majorHAnsi"/>
          <w:lang w:val="hr-HR"/>
        </w:rPr>
      </w:pPr>
    </w:p>
    <w:p w14:paraId="4389C172"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Dječji vrtić „Radost“ Novska vlastite prihode koristi za realizaciju programa predškolskog odgoja, za podmirivanje rashoda poslovanja i rashoda za nabavu nefinancijske imovine. </w:t>
      </w:r>
    </w:p>
    <w:p w14:paraId="16CF01D7" w14:textId="77777777" w:rsidR="00BC0D0B" w:rsidRPr="00BC0D0B" w:rsidRDefault="00BC0D0B" w:rsidP="00BC0D0B">
      <w:pPr>
        <w:ind w:left="-426"/>
        <w:jc w:val="both"/>
        <w:rPr>
          <w:rFonts w:asciiTheme="majorHAnsi" w:hAnsiTheme="majorHAnsi" w:cstheme="majorHAnsi"/>
          <w:lang w:val="hr-HR"/>
        </w:rPr>
      </w:pPr>
    </w:p>
    <w:p w14:paraId="1E865D44"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Pučko otvoreno učilište Novska vlastite prihode koristi za realizaciju obrazovnih  i  kulturnih djelatnosti za koje je registrirano, za podmirivanje rashoda poslovanja i rashoda za nabavu nefinancijske imovine.</w:t>
      </w:r>
    </w:p>
    <w:p w14:paraId="23B4AA1C" w14:textId="77777777" w:rsidR="00BC0D0B" w:rsidRPr="00BC0D0B" w:rsidRDefault="00BC0D0B" w:rsidP="00BC0D0B">
      <w:pPr>
        <w:ind w:left="-426"/>
        <w:jc w:val="both"/>
        <w:rPr>
          <w:rFonts w:asciiTheme="majorHAnsi" w:hAnsiTheme="majorHAnsi" w:cstheme="majorHAnsi"/>
          <w:lang w:val="hr-HR"/>
        </w:rPr>
      </w:pPr>
    </w:p>
    <w:p w14:paraId="64EEB4AF"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Gradska knjižnica i čitaonica Ante Jagar Novska vlastite prihode koristi za realizaciju knjižnične djelatnosti, za podmirenje rashoda poslovanja, te za nabavu nefinancijske imovine.</w:t>
      </w:r>
    </w:p>
    <w:p w14:paraId="3496867A" w14:textId="77777777" w:rsidR="00BC0D0B" w:rsidRPr="00BC0D0B" w:rsidRDefault="00BC0D0B" w:rsidP="00BC0D0B">
      <w:pPr>
        <w:ind w:left="-426"/>
        <w:jc w:val="both"/>
        <w:rPr>
          <w:rFonts w:asciiTheme="majorHAnsi" w:hAnsiTheme="majorHAnsi" w:cstheme="majorHAnsi"/>
          <w:lang w:val="hr-HR"/>
        </w:rPr>
      </w:pPr>
    </w:p>
    <w:p w14:paraId="0DB1B530"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Javna vatrogasna postrojba Grada Novske vlastite prihode koristi za financiranje vatrogasnih i drugih djelatnosti za koje su registrirani, za podmirenje rashoda poslovanja, te za nabavu nefinancijske imovine.  </w:t>
      </w:r>
    </w:p>
    <w:p w14:paraId="7580B51F"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5.</w:t>
      </w:r>
    </w:p>
    <w:p w14:paraId="65B1596D"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Proračunski korisnici mogu preuzeti i plaćati obveze za čije su financiranje planirani vlastiti prihodi, isključivo do iznosa naplaćenih vlastitih prihoda. </w:t>
      </w:r>
    </w:p>
    <w:p w14:paraId="5FC08B7A" w14:textId="77777777" w:rsidR="00BC0D0B" w:rsidRPr="00BC0D0B" w:rsidRDefault="00BC0D0B" w:rsidP="00BC0D0B">
      <w:pPr>
        <w:ind w:left="-426"/>
        <w:jc w:val="both"/>
        <w:rPr>
          <w:rFonts w:asciiTheme="majorHAnsi" w:hAnsiTheme="majorHAnsi" w:cstheme="majorHAnsi"/>
          <w:lang w:val="hr-HR"/>
        </w:rPr>
      </w:pPr>
    </w:p>
    <w:p w14:paraId="78B3C233" w14:textId="77777777" w:rsidR="00BC0D0B" w:rsidRPr="00BC0D0B" w:rsidRDefault="00BC0D0B" w:rsidP="00BC0D0B">
      <w:pPr>
        <w:ind w:left="-426"/>
        <w:jc w:val="both"/>
        <w:rPr>
          <w:rFonts w:asciiTheme="majorHAnsi" w:hAnsiTheme="majorHAnsi" w:cstheme="majorHAnsi"/>
          <w:color w:val="FF0000"/>
          <w:lang w:val="hr-HR"/>
        </w:rPr>
      </w:pPr>
      <w:r w:rsidRPr="00BC0D0B">
        <w:rPr>
          <w:rFonts w:asciiTheme="majorHAnsi" w:hAnsiTheme="majorHAnsi" w:cstheme="majorHAnsi"/>
          <w:lang w:val="hr-HR"/>
        </w:rPr>
        <w:t xml:space="preserve">Uplaćeni i preneseni, a manje planirani vlastiti prihodi proračunskog korisnika mogu se izvršavati iznad iznosa utvrđenih u financijskom planu korisnika,  do visine uplaćenih , odnosno prenesenih sredstava. </w:t>
      </w:r>
    </w:p>
    <w:p w14:paraId="232E1A89" w14:textId="77777777" w:rsidR="00BC0D0B" w:rsidRPr="00BC0D0B" w:rsidRDefault="00BC0D0B" w:rsidP="00BC0D0B">
      <w:pPr>
        <w:ind w:left="-426"/>
        <w:jc w:val="both"/>
        <w:rPr>
          <w:rFonts w:asciiTheme="majorHAnsi" w:hAnsiTheme="majorHAnsi" w:cstheme="majorHAnsi"/>
          <w:lang w:val="hr-HR"/>
        </w:rPr>
      </w:pPr>
    </w:p>
    <w:p w14:paraId="3ABCC4EC" w14:textId="77777777" w:rsidR="00BC0D0B" w:rsidRPr="00BC0D0B" w:rsidRDefault="00BC0D0B" w:rsidP="00BC0D0B">
      <w:pPr>
        <w:ind w:left="-426"/>
        <w:jc w:val="both"/>
        <w:rPr>
          <w:rFonts w:asciiTheme="majorHAnsi" w:hAnsiTheme="majorHAnsi" w:cstheme="majorHAnsi"/>
          <w:strike/>
          <w:lang w:val="hr-HR"/>
        </w:rPr>
      </w:pPr>
      <w:r w:rsidRPr="00BC0D0B">
        <w:rPr>
          <w:rFonts w:asciiTheme="majorHAnsi" w:hAnsiTheme="majorHAnsi" w:cstheme="majorHAnsi"/>
          <w:lang w:val="hr-HR"/>
        </w:rPr>
        <w:t xml:space="preserve">Uplaćeni vlastiti prihodi proračunskih korisnika koji nisu planirani u proračunu  mogu se koristiti prema naknadno utvrđenim aktivnostima i/ili projektima u financijskom planu. </w:t>
      </w:r>
    </w:p>
    <w:p w14:paraId="76DB72B0" w14:textId="77777777" w:rsidR="00BC0D0B" w:rsidRPr="00BC0D0B" w:rsidRDefault="00BC0D0B" w:rsidP="00BC0D0B">
      <w:pPr>
        <w:ind w:left="-426"/>
        <w:jc w:val="both"/>
        <w:rPr>
          <w:rFonts w:asciiTheme="majorHAnsi" w:hAnsiTheme="majorHAnsi" w:cstheme="majorHAnsi"/>
          <w:strike/>
          <w:lang w:val="hr-HR"/>
        </w:rPr>
      </w:pPr>
    </w:p>
    <w:p w14:paraId="5BCBCBC9"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Vlastiti prihodi koji nisu iskorišteni u prethodnoj godini, prenose se u proračun za tekuću godinu. </w:t>
      </w:r>
    </w:p>
    <w:p w14:paraId="3455D5FB"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Nadležna tijela gradske uprave nadziru ostvarenje i trošenje prihoda od obavljanja poslova na tržištu i u tržišnim uvjetima (vlastiti prihodi) po pojedinom proračunskom korisniku. </w:t>
      </w:r>
    </w:p>
    <w:p w14:paraId="5BFED09A" w14:textId="77777777" w:rsidR="00BC0D0B" w:rsidRPr="00BC0D0B" w:rsidRDefault="00BC0D0B" w:rsidP="00BC0D0B">
      <w:pPr>
        <w:ind w:left="-426"/>
        <w:jc w:val="both"/>
        <w:rPr>
          <w:rFonts w:asciiTheme="majorHAnsi" w:hAnsiTheme="majorHAnsi" w:cstheme="majorHAnsi"/>
          <w:lang w:val="hr-HR"/>
        </w:rPr>
      </w:pPr>
    </w:p>
    <w:p w14:paraId="2349C65D" w14:textId="58F7089A" w:rsid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Vlastiti prihodi i rashodi proračunskih korisnika sastavni su dio  konsolidiranog izvještaja Grada Novske. </w:t>
      </w:r>
    </w:p>
    <w:p w14:paraId="495B1FA5" w14:textId="77777777" w:rsidR="00BC0D0B" w:rsidRPr="00BC0D0B" w:rsidRDefault="00BC0D0B" w:rsidP="00BC0D0B">
      <w:pPr>
        <w:ind w:left="-426"/>
        <w:jc w:val="both"/>
        <w:rPr>
          <w:rFonts w:asciiTheme="majorHAnsi" w:hAnsiTheme="majorHAnsi" w:cstheme="majorHAnsi"/>
          <w:lang w:val="hr-HR"/>
        </w:rPr>
      </w:pPr>
    </w:p>
    <w:p w14:paraId="47D9CC11"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6.</w:t>
      </w:r>
    </w:p>
    <w:p w14:paraId="09767AD3"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Upravno vijeće proračunskog korisnika obavezno je na prijedlog čelnika proračunskog korisnika, a u skladu sa statutom, donijeti opći akt kojim će se utvrditi uvjeti, kriteriji i način korištenja vlastitih prihoda primjeren poslovanju svakog proračunskog korisnika, u skladu s odredbama ove Procedure.</w:t>
      </w:r>
    </w:p>
    <w:p w14:paraId="2152B18B" w14:textId="77777777" w:rsidR="00BC0D0B" w:rsidRPr="00BC0D0B" w:rsidRDefault="00BC0D0B" w:rsidP="00BC0D0B">
      <w:pPr>
        <w:ind w:left="-426"/>
        <w:jc w:val="both"/>
        <w:rPr>
          <w:rFonts w:asciiTheme="majorHAnsi" w:hAnsiTheme="majorHAnsi" w:cstheme="majorHAnsi"/>
          <w:lang w:val="hr-HR"/>
        </w:rPr>
      </w:pPr>
    </w:p>
    <w:p w14:paraId="7C71E082"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7.</w:t>
      </w:r>
    </w:p>
    <w:p w14:paraId="37BED237"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 xml:space="preserve">Proračunski korisnici koji ostvaruju vlastite prihode dužni su ih evidentirati sukladno propisima kojima je uređeno proračunsko računovodstvo. </w:t>
      </w:r>
    </w:p>
    <w:p w14:paraId="2E934C8B" w14:textId="77777777" w:rsidR="00BC0D0B" w:rsidRPr="00BC0D0B" w:rsidRDefault="00BC0D0B" w:rsidP="00BC0D0B">
      <w:pPr>
        <w:ind w:left="-426"/>
        <w:jc w:val="both"/>
        <w:rPr>
          <w:rFonts w:asciiTheme="majorHAnsi" w:hAnsiTheme="majorHAnsi" w:cstheme="majorHAnsi"/>
          <w:lang w:val="hr-HR"/>
        </w:rPr>
      </w:pPr>
    </w:p>
    <w:p w14:paraId="63EC2BB0" w14:textId="77777777" w:rsidR="00BC0D0B" w:rsidRPr="00BC0D0B" w:rsidRDefault="00BC0D0B" w:rsidP="00BC0D0B">
      <w:pPr>
        <w:ind w:left="-426"/>
        <w:jc w:val="center"/>
        <w:rPr>
          <w:rFonts w:asciiTheme="majorHAnsi" w:hAnsiTheme="majorHAnsi" w:cstheme="majorHAnsi"/>
          <w:b/>
          <w:bCs/>
          <w:lang w:val="hr-HR"/>
        </w:rPr>
      </w:pPr>
      <w:r w:rsidRPr="00BC0D0B">
        <w:rPr>
          <w:rFonts w:asciiTheme="majorHAnsi" w:hAnsiTheme="majorHAnsi" w:cstheme="majorHAnsi"/>
          <w:b/>
          <w:bCs/>
          <w:lang w:val="hr-HR"/>
        </w:rPr>
        <w:t>Članak 8.</w:t>
      </w:r>
    </w:p>
    <w:p w14:paraId="7654EBCE"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Ova Procedura stupa na snagu danom donošenja, a objavit će se na internetskoj stranici Grada Novske.</w:t>
      </w:r>
    </w:p>
    <w:p w14:paraId="32E73B1E" w14:textId="77777777" w:rsidR="00BC0D0B" w:rsidRPr="00BC0D0B" w:rsidRDefault="00BC0D0B" w:rsidP="00BC0D0B">
      <w:pPr>
        <w:ind w:left="-426"/>
        <w:jc w:val="both"/>
        <w:rPr>
          <w:rFonts w:asciiTheme="majorHAnsi" w:hAnsiTheme="majorHAnsi" w:cstheme="majorHAnsi"/>
          <w:lang w:val="hr-HR"/>
        </w:rPr>
      </w:pPr>
    </w:p>
    <w:p w14:paraId="6BD3BC59" w14:textId="77777777" w:rsidR="00BC0D0B" w:rsidRPr="00BC0D0B" w:rsidRDefault="00BC0D0B" w:rsidP="00BC0D0B">
      <w:pPr>
        <w:ind w:left="-426"/>
        <w:jc w:val="both"/>
        <w:rPr>
          <w:rFonts w:asciiTheme="majorHAnsi" w:hAnsiTheme="majorHAnsi" w:cstheme="majorHAnsi"/>
          <w:lang w:val="hr-HR"/>
        </w:rPr>
      </w:pPr>
    </w:p>
    <w:p w14:paraId="34ED82FE"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t xml:space="preserve">  Gradonačelnik</w:t>
      </w:r>
    </w:p>
    <w:p w14:paraId="16C70A0A" w14:textId="77777777" w:rsidR="00BC0D0B" w:rsidRPr="00BC0D0B" w:rsidRDefault="00BC0D0B" w:rsidP="00BC0D0B">
      <w:pPr>
        <w:ind w:left="-426"/>
        <w:jc w:val="both"/>
        <w:rPr>
          <w:rFonts w:asciiTheme="majorHAnsi" w:hAnsiTheme="majorHAnsi" w:cstheme="majorHAnsi"/>
          <w:lang w:val="hr-HR"/>
        </w:rPr>
      </w:pPr>
    </w:p>
    <w:p w14:paraId="6CD8EB36" w14:textId="77777777" w:rsidR="00BC0D0B" w:rsidRPr="00BC0D0B" w:rsidRDefault="00BC0D0B" w:rsidP="00BC0D0B">
      <w:pPr>
        <w:ind w:left="-426"/>
        <w:jc w:val="both"/>
        <w:rPr>
          <w:rFonts w:asciiTheme="majorHAnsi" w:hAnsiTheme="majorHAnsi" w:cstheme="majorHAnsi"/>
          <w:lang w:val="hr-HR"/>
        </w:rPr>
      </w:pP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r>
      <w:r w:rsidRPr="00BC0D0B">
        <w:rPr>
          <w:rFonts w:asciiTheme="majorHAnsi" w:hAnsiTheme="majorHAnsi" w:cstheme="majorHAnsi"/>
          <w:lang w:val="hr-HR"/>
        </w:rPr>
        <w:tab/>
        <w:t xml:space="preserve">Marin </w:t>
      </w:r>
      <w:proofErr w:type="spellStart"/>
      <w:r w:rsidRPr="00BC0D0B">
        <w:rPr>
          <w:rFonts w:asciiTheme="majorHAnsi" w:hAnsiTheme="majorHAnsi" w:cstheme="majorHAnsi"/>
          <w:lang w:val="hr-HR"/>
        </w:rPr>
        <w:t>Piletić</w:t>
      </w:r>
      <w:proofErr w:type="spellEnd"/>
      <w:r w:rsidRPr="00BC0D0B">
        <w:rPr>
          <w:rFonts w:asciiTheme="majorHAnsi" w:hAnsiTheme="majorHAnsi" w:cstheme="majorHAnsi"/>
          <w:lang w:val="hr-HR"/>
        </w:rPr>
        <w:t>, prof.</w:t>
      </w:r>
    </w:p>
    <w:p w14:paraId="58C45EB1" w14:textId="77777777" w:rsidR="00BC0D0B" w:rsidRPr="00BC0D0B" w:rsidRDefault="00BC0D0B" w:rsidP="00BC0D0B">
      <w:pPr>
        <w:ind w:left="-426"/>
        <w:jc w:val="both"/>
        <w:rPr>
          <w:rFonts w:asciiTheme="majorHAnsi" w:hAnsiTheme="majorHAnsi" w:cstheme="majorHAnsi"/>
        </w:rPr>
      </w:pPr>
    </w:p>
    <w:p w14:paraId="007191AF" w14:textId="77777777" w:rsidR="00BC0D0B" w:rsidRPr="00BC0D0B" w:rsidRDefault="00BC0D0B" w:rsidP="00BC0D0B">
      <w:pPr>
        <w:rPr>
          <w:rFonts w:asciiTheme="majorHAnsi" w:hAnsiTheme="majorHAnsi" w:cstheme="majorHAnsi"/>
        </w:rPr>
      </w:pPr>
    </w:p>
    <w:p w14:paraId="1FEE90D6" w14:textId="77777777" w:rsidR="00BC0D0B" w:rsidRPr="00BC0D0B" w:rsidRDefault="00BC0D0B" w:rsidP="00BC0D0B">
      <w:pPr>
        <w:rPr>
          <w:rFonts w:asciiTheme="majorHAnsi" w:hAnsiTheme="majorHAnsi" w:cstheme="majorHAnsi"/>
        </w:rPr>
      </w:pPr>
    </w:p>
    <w:p w14:paraId="1E37264E" w14:textId="77777777" w:rsidR="00BC0D0B" w:rsidRPr="00BC0D0B" w:rsidRDefault="00BC0D0B" w:rsidP="00BC0D0B">
      <w:pPr>
        <w:rPr>
          <w:rFonts w:asciiTheme="majorHAnsi" w:hAnsiTheme="majorHAnsi" w:cstheme="majorHAnsi"/>
        </w:rPr>
      </w:pPr>
    </w:p>
    <w:p w14:paraId="2B1E9FA2" w14:textId="77777777" w:rsidR="00645D0E" w:rsidRPr="00BC0D0B" w:rsidRDefault="00645D0E" w:rsidP="00645D0E">
      <w:pPr>
        <w:tabs>
          <w:tab w:val="left" w:pos="-567"/>
        </w:tabs>
        <w:spacing w:line="480" w:lineRule="auto"/>
        <w:ind w:left="-426" w:right="-674"/>
        <w:jc w:val="both"/>
        <w:rPr>
          <w:rFonts w:asciiTheme="majorHAnsi" w:hAnsiTheme="majorHAnsi" w:cstheme="majorHAnsi"/>
          <w:lang w:val="hr-HR"/>
        </w:rPr>
      </w:pPr>
    </w:p>
    <w:p w14:paraId="75E66257" w14:textId="77777777" w:rsidR="00E6330C" w:rsidRPr="00BC0D0B" w:rsidRDefault="00E6330C" w:rsidP="00E6330C">
      <w:pPr>
        <w:tabs>
          <w:tab w:val="left" w:pos="-567"/>
        </w:tabs>
        <w:spacing w:line="480" w:lineRule="auto"/>
        <w:ind w:left="-426" w:right="-674"/>
        <w:jc w:val="both"/>
        <w:rPr>
          <w:rFonts w:asciiTheme="majorHAnsi" w:hAnsiTheme="majorHAnsi" w:cstheme="majorHAnsi"/>
          <w:lang w:val="hr-HR"/>
        </w:rPr>
      </w:pPr>
    </w:p>
    <w:p w14:paraId="540B868D" w14:textId="4E4E6BF0" w:rsidR="002F45B6" w:rsidRPr="00BC0D0B" w:rsidRDefault="002F45B6" w:rsidP="00E6330C">
      <w:pPr>
        <w:tabs>
          <w:tab w:val="right" w:pos="8306"/>
        </w:tabs>
        <w:spacing w:line="480" w:lineRule="auto"/>
        <w:ind w:left="-426"/>
        <w:jc w:val="both"/>
        <w:rPr>
          <w:rFonts w:asciiTheme="majorHAnsi" w:hAnsiTheme="majorHAnsi" w:cstheme="majorHAnsi"/>
          <w:lang w:val="hr-HR"/>
        </w:rPr>
      </w:pPr>
    </w:p>
    <w:p w14:paraId="67971805" w14:textId="77777777" w:rsidR="002F45B6" w:rsidRPr="00BC0D0B" w:rsidRDefault="002F45B6" w:rsidP="00E6330C">
      <w:pPr>
        <w:tabs>
          <w:tab w:val="right" w:pos="8306"/>
        </w:tabs>
        <w:spacing w:line="360" w:lineRule="auto"/>
        <w:ind w:left="-426"/>
        <w:jc w:val="center"/>
        <w:rPr>
          <w:rFonts w:asciiTheme="majorHAnsi" w:hAnsiTheme="majorHAnsi" w:cstheme="majorHAnsi"/>
          <w:lang w:val="hr-HR"/>
        </w:rPr>
      </w:pPr>
    </w:p>
    <w:p w14:paraId="6C6208FD" w14:textId="77777777" w:rsidR="002F45B6" w:rsidRPr="00645D0E" w:rsidRDefault="002F45B6" w:rsidP="002F45B6">
      <w:pPr>
        <w:tabs>
          <w:tab w:val="right" w:pos="8306"/>
        </w:tabs>
        <w:ind w:left="-426"/>
        <w:jc w:val="both"/>
        <w:rPr>
          <w:rFonts w:asciiTheme="majorHAnsi" w:hAnsiTheme="majorHAnsi"/>
          <w:b/>
          <w:lang w:val="hr-HR"/>
        </w:rPr>
      </w:pPr>
    </w:p>
    <w:p w14:paraId="6AD6F30F" w14:textId="77777777" w:rsidR="002F45B6" w:rsidRPr="00645D0E" w:rsidRDefault="002F45B6" w:rsidP="003A462E">
      <w:pPr>
        <w:tabs>
          <w:tab w:val="right" w:pos="8306"/>
        </w:tabs>
        <w:jc w:val="both"/>
        <w:rPr>
          <w:rFonts w:asciiTheme="majorHAnsi" w:hAnsiTheme="majorHAnsi"/>
          <w:b/>
        </w:rPr>
      </w:pPr>
    </w:p>
    <w:p w14:paraId="38C9DC13" w14:textId="77777777" w:rsidR="003A462E" w:rsidRPr="00645D0E" w:rsidRDefault="003A462E" w:rsidP="003A462E">
      <w:pPr>
        <w:jc w:val="both"/>
        <w:rPr>
          <w:rFonts w:asciiTheme="majorHAnsi" w:hAnsiTheme="majorHAnsi"/>
        </w:rPr>
      </w:pPr>
      <w:r w:rsidRPr="00645D0E">
        <w:rPr>
          <w:rFonts w:asciiTheme="majorHAnsi" w:hAnsiTheme="majorHAnsi"/>
        </w:rPr>
        <w:tab/>
      </w:r>
      <w:r w:rsidRPr="00645D0E">
        <w:rPr>
          <w:rFonts w:asciiTheme="majorHAnsi" w:hAnsiTheme="majorHAnsi"/>
        </w:rPr>
        <w:tab/>
      </w:r>
      <w:r w:rsidRPr="00645D0E">
        <w:rPr>
          <w:rFonts w:asciiTheme="majorHAnsi" w:hAnsiTheme="majorHAnsi"/>
        </w:rPr>
        <w:tab/>
      </w:r>
      <w:r w:rsidRPr="00645D0E">
        <w:rPr>
          <w:rFonts w:asciiTheme="majorHAnsi" w:hAnsiTheme="majorHAnsi"/>
        </w:rPr>
        <w:tab/>
      </w:r>
    </w:p>
    <w:p w14:paraId="330C9D3E" w14:textId="77777777" w:rsidR="003A462E" w:rsidRPr="00645D0E" w:rsidRDefault="003A462E" w:rsidP="003A462E">
      <w:pPr>
        <w:jc w:val="both"/>
        <w:rPr>
          <w:rFonts w:asciiTheme="majorHAnsi" w:hAnsiTheme="majorHAnsi"/>
        </w:rPr>
      </w:pPr>
      <w:r w:rsidRPr="00645D0E">
        <w:rPr>
          <w:rFonts w:asciiTheme="majorHAnsi" w:hAnsiTheme="majorHAnsi"/>
        </w:rPr>
        <w:t xml:space="preserve"> </w:t>
      </w:r>
      <w:r w:rsidRPr="00645D0E">
        <w:rPr>
          <w:rFonts w:asciiTheme="majorHAnsi" w:hAnsiTheme="majorHAnsi"/>
        </w:rPr>
        <w:tab/>
        <w:t xml:space="preserve">                                      </w:t>
      </w:r>
      <w:r w:rsidRPr="00645D0E">
        <w:rPr>
          <w:rFonts w:asciiTheme="majorHAnsi" w:hAnsiTheme="majorHAnsi"/>
        </w:rPr>
        <w:tab/>
        <w:t xml:space="preserve">                       </w:t>
      </w:r>
      <w:r w:rsidRPr="00645D0E">
        <w:rPr>
          <w:rFonts w:asciiTheme="majorHAnsi" w:hAnsiTheme="majorHAnsi"/>
        </w:rPr>
        <w:tab/>
      </w:r>
      <w:r w:rsidRPr="00645D0E">
        <w:rPr>
          <w:rFonts w:asciiTheme="majorHAnsi" w:hAnsiTheme="majorHAnsi"/>
        </w:rPr>
        <w:tab/>
      </w:r>
    </w:p>
    <w:p w14:paraId="05F93349" w14:textId="77777777" w:rsidR="003A462E" w:rsidRPr="00645D0E" w:rsidRDefault="003A462E" w:rsidP="003A462E">
      <w:pPr>
        <w:jc w:val="both"/>
        <w:rPr>
          <w:rFonts w:asciiTheme="majorHAnsi" w:hAnsiTheme="majorHAnsi"/>
        </w:rPr>
      </w:pPr>
    </w:p>
    <w:p w14:paraId="12D3CE8C" w14:textId="152F0917" w:rsidR="008616FA" w:rsidRPr="00A31CC8" w:rsidRDefault="003A462E" w:rsidP="00AA56E3">
      <w:pPr>
        <w:ind w:left="5664"/>
        <w:jc w:val="both"/>
        <w:rPr>
          <w:rFonts w:asciiTheme="majorHAnsi" w:hAnsiTheme="majorHAnsi"/>
        </w:rPr>
        <w:sectPr w:rsidR="008616FA" w:rsidRPr="00A31CC8" w:rsidSect="00BC0D0B">
          <w:headerReference w:type="even" r:id="rId8"/>
          <w:headerReference w:type="default" r:id="rId9"/>
          <w:footerReference w:type="even" r:id="rId10"/>
          <w:footerReference w:type="default" r:id="rId11"/>
          <w:headerReference w:type="first" r:id="rId12"/>
          <w:footerReference w:type="first" r:id="rId13"/>
          <w:pgSz w:w="11900" w:h="16840"/>
          <w:pgMar w:top="1440" w:right="1268" w:bottom="1440" w:left="1560" w:header="851" w:footer="384" w:gutter="0"/>
          <w:cols w:space="708"/>
          <w:titlePg/>
          <w:docGrid w:linePitch="360"/>
        </w:sectPr>
      </w:pPr>
      <w:r w:rsidRPr="004614EE">
        <w:t xml:space="preserve">        </w:t>
      </w:r>
      <w:r w:rsidRPr="004614EE">
        <w:tab/>
      </w:r>
      <w:r w:rsidRPr="004614EE">
        <w:tab/>
      </w:r>
      <w:r>
        <w:t xml:space="preserve">  </w:t>
      </w:r>
      <w:r w:rsidRPr="004614EE">
        <w:t xml:space="preserve"> </w:t>
      </w:r>
      <w:r>
        <w:t xml:space="preserve"> </w:t>
      </w:r>
      <w:r w:rsidRPr="004614EE">
        <w:t xml:space="preserve"> </w:t>
      </w:r>
    </w:p>
    <w:p w14:paraId="62A792F2" w14:textId="77777777" w:rsidR="00FF6DF2" w:rsidRDefault="00FF6DF2"/>
    <w:sectPr w:rsidR="00FF6DF2" w:rsidSect="009323A5">
      <w:headerReference w:type="first" r:id="rId14"/>
      <w:pgSz w:w="11900" w:h="16840"/>
      <w:pgMar w:top="1440" w:right="0" w:bottom="1440" w:left="1800"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9761" w14:textId="77777777" w:rsidR="008616FA" w:rsidRDefault="008616FA" w:rsidP="008616FA">
      <w:r>
        <w:separator/>
      </w:r>
    </w:p>
  </w:endnote>
  <w:endnote w:type="continuationSeparator" w:id="0">
    <w:p w14:paraId="41754A77" w14:textId="77777777" w:rsidR="008616FA" w:rsidRDefault="008616FA"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4518" w14:textId="77777777" w:rsidR="0065152A" w:rsidRDefault="0065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F6DA" w14:textId="6E152C9B" w:rsidR="008616FA" w:rsidRDefault="008616FA" w:rsidP="009323A5">
    <w:pPr>
      <w:pStyle w:val="Footer"/>
      <w:ind w:left="-1134" w:right="-176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491" w14:textId="7E8276D1" w:rsidR="008616FA" w:rsidRDefault="008616FA" w:rsidP="009323A5">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2FB2" w14:textId="77777777" w:rsidR="008616FA" w:rsidRDefault="008616FA" w:rsidP="008616FA">
      <w:r>
        <w:separator/>
      </w:r>
    </w:p>
  </w:footnote>
  <w:footnote w:type="continuationSeparator" w:id="0">
    <w:p w14:paraId="40D918D2" w14:textId="77777777" w:rsidR="008616FA" w:rsidRDefault="008616FA" w:rsidP="008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88B" w14:textId="77777777" w:rsidR="0065152A" w:rsidRDefault="00651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A33F" w14:textId="0CA16FC6" w:rsidR="008616FA" w:rsidRDefault="008616FA" w:rsidP="009323A5">
    <w:pPr>
      <w:pStyle w:val="Header"/>
      <w:ind w:left="-709" w:right="-7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124" w14:textId="657900E7" w:rsidR="000B4F6E" w:rsidRDefault="000B4F6E" w:rsidP="0065152A">
    <w:pPr>
      <w:pStyle w:val="Header"/>
      <w:ind w:left="-567"/>
    </w:pPr>
    <w:r>
      <w:rPr>
        <w:noProof/>
        <w:lang w:val="hr-HR" w:eastAsia="hr-HR"/>
      </w:rPr>
      <w:drawing>
        <wp:inline distT="0" distB="0" distL="0" distR="0" wp14:anchorId="6E24835E" wp14:editId="5DDFEA76">
          <wp:extent cx="6120000" cy="1331653"/>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onacelnik-headerCUT.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33165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9593" w14:textId="77777777" w:rsidR="008616FA" w:rsidRDefault="00861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342B"/>
    <w:multiLevelType w:val="hybridMultilevel"/>
    <w:tmpl w:val="689ED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80008DD"/>
    <w:multiLevelType w:val="hybridMultilevel"/>
    <w:tmpl w:val="10C24C40"/>
    <w:lvl w:ilvl="0" w:tplc="64B86CD2">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16cid:durableId="1793984347">
    <w:abstractNumId w:val="0"/>
  </w:num>
  <w:num w:numId="2" w16cid:durableId="75964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FA"/>
    <w:rsid w:val="00073CAE"/>
    <w:rsid w:val="000B4F6E"/>
    <w:rsid w:val="000B6D97"/>
    <w:rsid w:val="002F45B6"/>
    <w:rsid w:val="003A462E"/>
    <w:rsid w:val="003D4F67"/>
    <w:rsid w:val="004771FF"/>
    <w:rsid w:val="00645D0E"/>
    <w:rsid w:val="0065152A"/>
    <w:rsid w:val="006D5FDC"/>
    <w:rsid w:val="008616FA"/>
    <w:rsid w:val="009323A5"/>
    <w:rsid w:val="00980AE2"/>
    <w:rsid w:val="009B2C2B"/>
    <w:rsid w:val="00A31CC8"/>
    <w:rsid w:val="00AA56E3"/>
    <w:rsid w:val="00B07E3C"/>
    <w:rsid w:val="00BC0D0B"/>
    <w:rsid w:val="00CF14CA"/>
    <w:rsid w:val="00E6330C"/>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410EF3"/>
  <w14:defaultImageDpi w14:val="300"/>
  <w15:docId w15:val="{6FBB8385-A6BE-4B38-95EF-4FEB19D1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FA"/>
    <w:pPr>
      <w:tabs>
        <w:tab w:val="center" w:pos="4320"/>
        <w:tab w:val="right" w:pos="8640"/>
      </w:tabs>
    </w:pPr>
  </w:style>
  <w:style w:type="character" w:customStyle="1" w:styleId="HeaderChar">
    <w:name w:val="Header Char"/>
    <w:basedOn w:val="DefaultParagraphFont"/>
    <w:link w:val="Header"/>
    <w:uiPriority w:val="99"/>
    <w:rsid w:val="008616FA"/>
  </w:style>
  <w:style w:type="paragraph" w:styleId="Footer">
    <w:name w:val="footer"/>
    <w:basedOn w:val="Normal"/>
    <w:link w:val="FooterChar"/>
    <w:uiPriority w:val="99"/>
    <w:unhideWhenUsed/>
    <w:rsid w:val="008616FA"/>
    <w:pPr>
      <w:tabs>
        <w:tab w:val="center" w:pos="4320"/>
        <w:tab w:val="right" w:pos="8640"/>
      </w:tabs>
    </w:pPr>
  </w:style>
  <w:style w:type="character" w:customStyle="1" w:styleId="FooterChar">
    <w:name w:val="Footer Char"/>
    <w:basedOn w:val="DefaultParagraphFont"/>
    <w:link w:val="Footer"/>
    <w:uiPriority w:val="99"/>
    <w:rsid w:val="008616FA"/>
  </w:style>
  <w:style w:type="paragraph" w:styleId="BalloonText">
    <w:name w:val="Balloon Text"/>
    <w:basedOn w:val="Normal"/>
    <w:link w:val="BalloonTextChar"/>
    <w:uiPriority w:val="99"/>
    <w:semiHidden/>
    <w:unhideWhenUsed/>
    <w:rsid w:val="00861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FA"/>
    <w:rPr>
      <w:rFonts w:ascii="Lucida Grande" w:hAnsi="Lucida Grande" w:cs="Lucida Grande"/>
      <w:sz w:val="18"/>
      <w:szCs w:val="18"/>
    </w:rPr>
  </w:style>
  <w:style w:type="paragraph" w:styleId="ListParagraph">
    <w:name w:val="List Paragraph"/>
    <w:basedOn w:val="Normal"/>
    <w:uiPriority w:val="34"/>
    <w:qFormat/>
    <w:rsid w:val="003A462E"/>
    <w:pPr>
      <w:ind w:left="720"/>
      <w:contextualSpacing/>
    </w:pPr>
    <w:rPr>
      <w:rFonts w:ascii="Times New Roman" w:eastAsia="Times New Roman" w:hAnsi="Times New Roman" w:cs="Times New Roman"/>
      <w:lang w:val="hr-HR" w:eastAsia="hr-HR"/>
    </w:rPr>
  </w:style>
  <w:style w:type="paragraph" w:customStyle="1" w:styleId="box459765">
    <w:name w:val="box_459765"/>
    <w:basedOn w:val="Normal"/>
    <w:rsid w:val="003A462E"/>
    <w:pPr>
      <w:spacing w:before="100" w:beforeAutospacing="1" w:after="100" w:afterAutospacing="1"/>
    </w:pPr>
    <w:rPr>
      <w:rFonts w:ascii="Times New Roman" w:eastAsia="Times New Roman" w:hAnsi="Times New Roman" w:cs="Times New Roman"/>
      <w:lang w:val="hr-HR" w:eastAsia="hr-HR"/>
    </w:rPr>
  </w:style>
  <w:style w:type="table" w:styleId="TableGrid">
    <w:name w:val="Table Grid"/>
    <w:basedOn w:val="TableNormal"/>
    <w:uiPriority w:val="39"/>
    <w:rsid w:val="00BC0D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1BBC-9F39-45CE-922A-A76DCE5D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dc:creator>
  <cp:keywords/>
  <dc:description/>
  <cp:lastModifiedBy>Sonja Marohnić Horvat</cp:lastModifiedBy>
  <cp:revision>2</cp:revision>
  <cp:lastPrinted>2018-09-27T14:41:00Z</cp:lastPrinted>
  <dcterms:created xsi:type="dcterms:W3CDTF">2022-11-16T10:06:00Z</dcterms:created>
  <dcterms:modified xsi:type="dcterms:W3CDTF">2022-11-16T10:06:00Z</dcterms:modified>
</cp:coreProperties>
</file>