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Pr="000903F8" w:rsidRDefault="005A26CB" w:rsidP="009A2503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903F8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0903F8" w:rsidRPr="009A2503" w:rsidRDefault="000903F8" w:rsidP="009A2503">
      <w:pPr>
        <w:pStyle w:val="Odlomakpopis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5A26CB" w:rsidRPr="009A2503" w:rsidRDefault="005A26CB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9A2503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9A250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9A2503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9A2503" w:rsidRDefault="00CA7D61" w:rsidP="009A2503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9A250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Jedinica lokalne i područne (regionalne) samouprave može se zaduživati uzimanjem kredita, zajmova i izdavanjem vrijednosnih papira. Ukupna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godišnja obveza</w:t>
      </w:r>
      <w:r w:rsidRPr="009A2503">
        <w:rPr>
          <w:rStyle w:val="Naglaeno"/>
          <w:rFonts w:cstheme="minorHAnsi"/>
          <w:color w:val="232323"/>
          <w:sz w:val="24"/>
          <w:szCs w:val="24"/>
          <w:shd w:val="clear" w:color="auto" w:fill="FFFFFF"/>
        </w:rPr>
        <w:t> 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jedinice lokalne i područne (regionalne) samouprave može iznositi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najviše do 20 %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 ostvarenih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 xml:space="preserve">prihoda 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u godini koja prethodi godini u kojoj se zadužuje. Navedeno ograničenje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ne odnosi se na projekte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 koji se sufinanciraju iz </w:t>
      </w:r>
      <w:proofErr w:type="spellStart"/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pretpristupnih</w:t>
      </w:r>
      <w:proofErr w:type="spellEnd"/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programa i fondova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Europske unije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 i na projekte iz područja unapređenja </w:t>
      </w:r>
      <w:r w:rsidRPr="009A2503">
        <w:rPr>
          <w:rStyle w:val="Naglaeno"/>
          <w:rFonts w:cstheme="minorHAnsi"/>
          <w:b w:val="0"/>
          <w:color w:val="232323"/>
          <w:sz w:val="24"/>
          <w:szCs w:val="24"/>
          <w:shd w:val="clear" w:color="auto" w:fill="FFFFFF"/>
        </w:rPr>
        <w:t>energetske učinkovitosti</w:t>
      </w:r>
      <w:r w:rsidRPr="009A2503">
        <w:rPr>
          <w:rFonts w:cstheme="minorHAnsi"/>
          <w:b/>
          <w:color w:val="232323"/>
          <w:sz w:val="24"/>
          <w:szCs w:val="24"/>
          <w:shd w:val="clear" w:color="auto" w:fill="FFFFFF"/>
        </w:rPr>
        <w:t>.</w:t>
      </w:r>
    </w:p>
    <w:p w:rsidR="00CA7D61" w:rsidRPr="009A2503" w:rsidRDefault="00CA7D61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980CCB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 i 102/17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>), izvještaj o zaduživanju na domaćem i stranom tržištu novca i kapitala daje pregled zaduživanja u izvještajnom razdoblju po instrumentima zaduženja, valutnoj, kamatnoj i ročnoj strukturi.</w:t>
      </w:r>
    </w:p>
    <w:p w:rsidR="00B631BA" w:rsidRDefault="00B631BA" w:rsidP="00CA7D61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je u polugodišnjem izvještajnom razdoblju od </w:t>
      </w:r>
      <w:r w:rsidR="000A2B22">
        <w:rPr>
          <w:rFonts w:cstheme="minorHAnsi"/>
          <w:color w:val="232323"/>
          <w:sz w:val="24"/>
          <w:szCs w:val="24"/>
          <w:shd w:val="clear" w:color="auto" w:fill="FFFFFF"/>
        </w:rPr>
        <w:t>0</w:t>
      </w:r>
      <w:r w:rsidR="00FF5628">
        <w:rPr>
          <w:rFonts w:cstheme="minorHAnsi"/>
          <w:color w:val="232323"/>
          <w:sz w:val="24"/>
          <w:szCs w:val="24"/>
          <w:shd w:val="clear" w:color="auto" w:fill="FFFFFF"/>
        </w:rPr>
        <w:t>1.01</w:t>
      </w:r>
      <w:bookmarkStart w:id="0" w:name="_GoBack"/>
      <w:bookmarkEnd w:id="0"/>
      <w:r>
        <w:rPr>
          <w:rFonts w:cstheme="minorHAnsi"/>
          <w:color w:val="232323"/>
          <w:sz w:val="24"/>
          <w:szCs w:val="24"/>
          <w:shd w:val="clear" w:color="auto" w:fill="FFFFFF"/>
        </w:rPr>
        <w:t>. do 30.</w:t>
      </w:r>
      <w:r w:rsidR="000A2B22">
        <w:rPr>
          <w:rFonts w:cstheme="minorHAnsi"/>
          <w:color w:val="232323"/>
          <w:sz w:val="24"/>
          <w:szCs w:val="24"/>
          <w:shd w:val="clear" w:color="auto" w:fill="FFFFFF"/>
        </w:rPr>
        <w:t>0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6.2019. godine</w:t>
      </w:r>
      <w:r w:rsidR="00980CCB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1C39F3"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imao </w:t>
      </w:r>
      <w:r w:rsidR="00980CCB" w:rsidRPr="009A2503">
        <w:rPr>
          <w:rFonts w:cstheme="minorHAnsi"/>
          <w:color w:val="232323"/>
          <w:sz w:val="24"/>
          <w:szCs w:val="24"/>
          <w:shd w:val="clear" w:color="auto" w:fill="FFFFFF"/>
        </w:rPr>
        <w:t>u otplati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jedan dugoročni tuzemni kredit i dobivenu suglasnost Gradskog vijeća za zaduživanje dugoročnim tuzemnim kreditom za financiranje kapitalnog projekta „</w:t>
      </w:r>
      <w:proofErr w:type="spellStart"/>
      <w:r>
        <w:rPr>
          <w:rFonts w:cstheme="minorHAnsi"/>
          <w:color w:val="232323"/>
          <w:sz w:val="24"/>
          <w:szCs w:val="24"/>
          <w:shd w:val="clear" w:color="auto" w:fill="FFFFFF"/>
        </w:rPr>
        <w:t>Klaster</w:t>
      </w:r>
      <w:proofErr w:type="spellEnd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kulture na temeljima kulturne baštine povijesne jezgre Novske“. </w:t>
      </w:r>
    </w:p>
    <w:p w:rsidR="0024301A" w:rsidRPr="0024301A" w:rsidRDefault="00B631BA" w:rsidP="002430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Postojeći dugoročni tuzemni kredit u otplati odnosi se na kreditno zaduženje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Grada Novske kod Privredne banke Zagreb d.d. za financiranje kapitalnih projekata izgradnje spojne ceste – obilaznica D 47 – Tina Ujevića i izgradnje pristupne infrastrukture do Poduzetničke zone Novska na iznos od 11.000.000,00 kn s valutnom klauzulom u eurima, rok otplate deset godina bez počeka.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Navedeno kreditno zaduženje odobrilo je Gradsko vijeće Grada Novske </w:t>
      </w:r>
      <w:r w:rsidRPr="009A2503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iskorišteni iznos kredita (1.427.965,36 EUR) obračunava se redovna godišnja fiksna kamatna stopa u visini 3,69 %. Naplata glavnice i redovne kamate vrši se tromjesečno na zadnji dan svakog t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romjesečja, i to počevši od 31.12.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 koji je definiran kao datum prijenosa kredita u otplatu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Dodatkom II Ugovora od 10.09.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2013. godine. Prema otplatnom planu dugoročnog tuzemnog kredita otplata kredita započela je s 1.1.2014. i trajat će do 31.12.2023. godine. Navedeno kreditno zaduženje odobrilo je Gradsko vijeće Grada Novske na sjednici održanoj 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05.07.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2011. godine („Službeni vjesnik“, broj 29/11).</w:t>
      </w:r>
    </w:p>
    <w:p w:rsidR="0024301A" w:rsidRPr="0024301A" w:rsidRDefault="00B631BA" w:rsidP="00CA7D6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Na 20. sjednici održanoj 30.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05.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2019. godine Gradsko vijeće Grada Novske donijelo je Odluku o kreditnom zaduženju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(„Službeni vjesnik“,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broj 30/19)</w:t>
      </w:r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podizanjem dugoročnog tuzemnog kredita za financiranje kapitalnog projekta „</w:t>
      </w:r>
      <w:proofErr w:type="spellStart"/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Klaster</w:t>
      </w:r>
      <w:proofErr w:type="spellEnd"/>
      <w:r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kulture na temeljima kulturne baštine povijesne jezgre Novske“</w:t>
      </w:r>
      <w:r w:rsidR="00276A94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kod Hrvatske poštanske banke d.d. na iznos od 25.000.000,00 kn u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fiksnu nominalnu kamatnu stopu od 1,50 % na rok otplate 10 godina bez počeka u jednakim mjesečnim ratama </w:t>
      </w:r>
      <w:r w:rsidR="0024301A" w:rsidRPr="0024301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i jednokratnu naknadu za obradu zahtjeva u visini 0,30 % na iznos odobrenog kredita.</w:t>
      </w:r>
      <w:r w:rsidR="0024301A" w:rsidRP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Kredit će se koristiti sukcesivno na temelju dokumentacije od strane korisnika kredita, i to isplatom na račun dobavljača. 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Vlada Republike Hrvatske je na 176. sjednici održanoj 29.</w:t>
      </w:r>
      <w:r w:rsidR="000A2B22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24301A">
        <w:rPr>
          <w:rFonts w:cstheme="minorHAnsi"/>
          <w:color w:val="000000" w:themeColor="text1"/>
          <w:sz w:val="24"/>
          <w:szCs w:val="24"/>
          <w:shd w:val="clear" w:color="auto" w:fill="FFFFFF"/>
        </w:rPr>
        <w:t>8.2019. godine donijela Odluku o davanju suglasnosti Gradu za zaduženje kod Hrvatske poštanske banke d.d., Zagreb.</w:t>
      </w:r>
    </w:p>
    <w:sectPr w:rsidR="0024301A" w:rsidRPr="00243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95" w:rsidRDefault="00FE4295" w:rsidP="002B20B3">
      <w:pPr>
        <w:spacing w:after="0" w:line="240" w:lineRule="auto"/>
      </w:pPr>
      <w:r>
        <w:separator/>
      </w:r>
    </w:p>
  </w:endnote>
  <w:endnote w:type="continuationSeparator" w:id="0">
    <w:p w:rsidR="00FE4295" w:rsidRDefault="00FE4295" w:rsidP="002B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14701"/>
      <w:docPartObj>
        <w:docPartGallery w:val="Page Numbers (Bottom of Page)"/>
        <w:docPartUnique/>
      </w:docPartObj>
    </w:sdtPr>
    <w:sdtEndPr/>
    <w:sdtContent>
      <w:p w:rsidR="002B20B3" w:rsidRDefault="002B2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7B">
          <w:rPr>
            <w:noProof/>
          </w:rPr>
          <w:t>1</w:t>
        </w:r>
        <w:r>
          <w:fldChar w:fldCharType="end"/>
        </w:r>
      </w:p>
    </w:sdtContent>
  </w:sdt>
  <w:p w:rsidR="002B20B3" w:rsidRDefault="002B20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95" w:rsidRDefault="00FE4295" w:rsidP="002B20B3">
      <w:pPr>
        <w:spacing w:after="0" w:line="240" w:lineRule="auto"/>
      </w:pPr>
      <w:r>
        <w:separator/>
      </w:r>
    </w:p>
  </w:footnote>
  <w:footnote w:type="continuationSeparator" w:id="0">
    <w:p w:rsidR="00FE4295" w:rsidRDefault="00FE4295" w:rsidP="002B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A9A8292C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903F8"/>
    <w:rsid w:val="000A2B22"/>
    <w:rsid w:val="001C39F3"/>
    <w:rsid w:val="0024301A"/>
    <w:rsid w:val="00276A94"/>
    <w:rsid w:val="002B20B3"/>
    <w:rsid w:val="004A1FF9"/>
    <w:rsid w:val="004B7E8E"/>
    <w:rsid w:val="00547139"/>
    <w:rsid w:val="005A26CB"/>
    <w:rsid w:val="007B565C"/>
    <w:rsid w:val="00973823"/>
    <w:rsid w:val="00980CCB"/>
    <w:rsid w:val="009A2503"/>
    <w:rsid w:val="00A0634B"/>
    <w:rsid w:val="00B631BA"/>
    <w:rsid w:val="00B6455A"/>
    <w:rsid w:val="00BF3B7B"/>
    <w:rsid w:val="00C05929"/>
    <w:rsid w:val="00CA7D61"/>
    <w:rsid w:val="00EF5D7A"/>
    <w:rsid w:val="00FE429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0B3"/>
  </w:style>
  <w:style w:type="paragraph" w:styleId="Podnoje">
    <w:name w:val="footer"/>
    <w:basedOn w:val="Normal"/>
    <w:link w:val="PodnojeChar"/>
    <w:uiPriority w:val="99"/>
    <w:unhideWhenUsed/>
    <w:rsid w:val="002B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0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301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5</cp:revision>
  <cp:lastPrinted>2019-10-03T09:03:00Z</cp:lastPrinted>
  <dcterms:created xsi:type="dcterms:W3CDTF">2019-10-01T14:44:00Z</dcterms:created>
  <dcterms:modified xsi:type="dcterms:W3CDTF">2019-10-03T13:02:00Z</dcterms:modified>
</cp:coreProperties>
</file>