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0903F8" w:rsidRDefault="005A26CB" w:rsidP="009A2503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903F8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0903F8" w:rsidRPr="009A2503" w:rsidRDefault="000903F8" w:rsidP="009A2503">
      <w:pPr>
        <w:pStyle w:val="Odlomakpopis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A26CB" w:rsidRPr="009A2503" w:rsidRDefault="005A26CB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9A2503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9A250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9A2503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9A2503" w:rsidRDefault="00CA7D61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Jedinica lokalne i područne (regionalne) samouprave može se zaduživati uzimanjem kredita, zajmova i izdavanjem vrijednosnih papira. Ukupna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godišnja obveza</w:t>
      </w:r>
      <w:r w:rsidRPr="009A2503">
        <w:rPr>
          <w:rStyle w:val="Naglaeno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jedinice lokalne i područne (regionalne) samouprave može iznositi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najviše do 20 %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 ostvarenih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 xml:space="preserve">prihoda 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u godini koja prethodi godini u kojoj se zadužuje. Navedeno ograničenje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ne odnosi se na projekte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 koji se sufinanciraju iz </w:t>
      </w:r>
      <w:proofErr w:type="spellStart"/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pretpristupnih</w:t>
      </w:r>
      <w:proofErr w:type="spellEnd"/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programa i fondova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Europske unije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 i na projekte iz područja unapređenja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energetske učinkovitosti</w:t>
      </w:r>
      <w:r w:rsidRPr="009A2503">
        <w:rPr>
          <w:rFonts w:cstheme="minorHAnsi"/>
          <w:b/>
          <w:color w:val="232323"/>
          <w:sz w:val="24"/>
          <w:szCs w:val="24"/>
          <w:shd w:val="clear" w:color="auto" w:fill="FFFFFF"/>
        </w:rPr>
        <w:t>.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), izvještaj o zaduživanju na domaćem i stranom tržištu novca i kapitala daje pregled zaduživanja u izvještajnom razdoblju po instrumentima zaduženja, valutnoj, kamatnoj i ročnoj strukturi.</w:t>
      </w:r>
    </w:p>
    <w:p w:rsidR="00B631BA" w:rsidRDefault="00B631BA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u izvještajnom razdoblju od </w:t>
      </w:r>
      <w:r w:rsidR="000A2B22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 w:rsidR="00FF5628">
        <w:rPr>
          <w:rFonts w:cstheme="minorHAnsi"/>
          <w:color w:val="232323"/>
          <w:sz w:val="24"/>
          <w:szCs w:val="24"/>
          <w:shd w:val="clear" w:color="auto" w:fill="FFFFFF"/>
        </w:rPr>
        <w:t>1.01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>. do 31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.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>12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.2019. godine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1C39F3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imao 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>u otplati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jedan dugoročni tuzemni kredit i dobivenu suglasnost Gradskog vijeća za zaduživanje dugoročnim tuzemnim kreditom za financiranje kapitalnog projekta „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Klaster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kulture na temeljima kulturne baštine povijesne jezgre Novske“. </w:t>
      </w:r>
    </w:p>
    <w:p w:rsidR="0024301A" w:rsidRPr="0024301A" w:rsidRDefault="00B631BA" w:rsidP="002430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Postojeći dugoročni tuzemni kredit u otplati odnosi se na kreditno zaduženje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Grada Novske kod Privredne banke Zagreb d.d. za financiranje kapitalnih projekata izgradnje spojne ceste – obilaznica D 47 – Tina Ujevića i izgradnje pristupne infrastrukture do Poduzetničke zone Novska na iznos od 11.000.000,00 kn s valutnom klauzulom u eurima, rok otplate deset godina bez počeka.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Navedeno kreditno zaduženje odobrilo je Gradsko vijeće Grada Novske 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iskorišteni iznos kredita (1.427.965,36 EUR) obračunava se redovna godišnja fiksna kamatna stopa u visini 3,69 %. Naplata glavnice i redovne kamate vrši se tromjesečno na zadnji dan svakog t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romjesečja, i to počevši od 31.12.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 koji je definiran kao datum prijenosa kredita u otplatu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Dodatkom II Ugovora od 10.09.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godine. Prema otplatnom planu dugoročnog tuzemnog kredita otplata kredita započela je s 1.1.2014. i trajat će do 31.12.2023. godine. Navedeno kreditno zaduženje odobrilo je Gradsko vijeće Grada Novske na sjednici održanoj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05.07.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2011. godine („Službeni vjesnik“, broj 29/11).</w:t>
      </w:r>
    </w:p>
    <w:p w:rsidR="00C06E83" w:rsidRDefault="00B631BA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20. sjednici održanoj 30.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2019. godine Gradsko vijeće Grada Novske donijelo je Odluku o kreditnom zaduženju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(„Službeni vjesnik“,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30/19)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 za financiranje kapitalnog projekta „</w:t>
      </w:r>
      <w:proofErr w:type="spellStart"/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Klaster</w:t>
      </w:r>
      <w:proofErr w:type="spellEnd"/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kulture na temeljima kulturne baštine povijesne jezgre Novske“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 na iznos od 25.000.000,00 kn u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fiksnu nominalnu kamatnu stopu od 1,50 % na rok otplate 10 godina bez počeka u jednakim mjesečnim ratama </w:t>
      </w:r>
      <w:r w:rsidR="0024301A" w:rsidRPr="0024301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 jednokratnu naknadu za obradu zahtjeva u visini 0,30 % na iznos odobrenog kredita.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će se koristiti sukcesivno na temelju dokumentacije od strane korisnika kredita, i to isplatom na račun dobavljača. 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Vlada Republike Hrvatske je na 176. sjednici održanoj 29.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8.2019. godine donijela Odluku o davanju suglasnosti Gradu za zaduženje kod Hrvatske poštanske banke d.d., Zagreb.</w:t>
      </w:r>
    </w:p>
    <w:p w:rsidR="00C06E83" w:rsidRPr="0024301A" w:rsidRDefault="00C06E83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22. sjednici održanoj 23. kolovoza 2019. godine Gradsko vijeće Grada Novske donijelo je Odluku u kratkoročnom kreditnom zaduženju Grada Novske („Službeni vjesnik“, broj 53/19), kod kreditora Privredne banke Zagreb d.d. s namjenom dopuštenog prekoračenja po transakcijskom računu do iznosa od 7.000.000,00 kn. Na iskorišteni iznos kredita, počevši od prvog dana korištenja kredita obračunava se redovna kamata po stopi u visini prinosa na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trezorske zapise Ministarstva financija RH na 182 dana uvećano za kamatnu maržu od 1,20 %, godišnje, promjenjiva. Obračun i naplata kamate vrši se mjesečno na zadnji dan svakog mjeseca, odnosno o roku dospijeća kredita. Naknada za obradu zahtjeva </w:t>
      </w:r>
      <w:r w:rsidR="007004E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iznosi 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0,30 % od iznosa kredita, jednokratno unaprijed.</w:t>
      </w:r>
      <w:r w:rsidR="00576B4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Rok </w:t>
      </w:r>
      <w:r w:rsidR="00D161BC">
        <w:rPr>
          <w:rFonts w:cstheme="minorHAnsi"/>
          <w:color w:val="000000" w:themeColor="text1"/>
          <w:sz w:val="24"/>
          <w:szCs w:val="24"/>
          <w:shd w:val="clear" w:color="auto" w:fill="FFFFFF"/>
        </w:rPr>
        <w:t>otplate ovog okvirnog kredita je do 03.09.2020. godine. Iskorišteni iznos dopuštenog prekoračenja po transakcijskom računu Grada Novske na dan 31.12.2019. godine iznosio je 4.626.626,05 kn, redovne kamate (dospjele i nedospjele) na iskorišteno prekoračenje obračunate su u iznosu od 11.928,13 kn, dok je jednokratna naknada za obradu kredita iznosila 21.000,00 kn sukladno Ugovoru o kratkoročnom kreditu – dopušteno prekoračenje po transakcijskom računu sklopljenom dana 2. rujna 2019. godine između Privredne banke Zagreb d.d. i Grada Novske.</w:t>
      </w:r>
    </w:p>
    <w:sectPr w:rsidR="00C06E83" w:rsidRPr="00243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95" w:rsidRDefault="00FE4295" w:rsidP="002B20B3">
      <w:pPr>
        <w:spacing w:after="0" w:line="240" w:lineRule="auto"/>
      </w:pPr>
      <w:r>
        <w:separator/>
      </w:r>
    </w:p>
  </w:endnote>
  <w:endnote w:type="continuationSeparator" w:id="0">
    <w:p w:rsidR="00FE4295" w:rsidRDefault="00FE4295" w:rsidP="002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4701"/>
      <w:docPartObj>
        <w:docPartGallery w:val="Page Numbers (Bottom of Page)"/>
        <w:docPartUnique/>
      </w:docPartObj>
    </w:sdtPr>
    <w:sdtEndPr/>
    <w:sdtContent>
      <w:p w:rsidR="002B20B3" w:rsidRDefault="002B2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E3">
          <w:rPr>
            <w:noProof/>
          </w:rPr>
          <w:t>2</w:t>
        </w:r>
        <w:r>
          <w:fldChar w:fldCharType="end"/>
        </w:r>
      </w:p>
    </w:sdtContent>
  </w:sdt>
  <w:p w:rsidR="002B20B3" w:rsidRDefault="002B20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95" w:rsidRDefault="00FE4295" w:rsidP="002B20B3">
      <w:pPr>
        <w:spacing w:after="0" w:line="240" w:lineRule="auto"/>
      </w:pPr>
      <w:r>
        <w:separator/>
      </w:r>
    </w:p>
  </w:footnote>
  <w:footnote w:type="continuationSeparator" w:id="0">
    <w:p w:rsidR="00FE4295" w:rsidRDefault="00FE4295" w:rsidP="002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903F8"/>
    <w:rsid w:val="000A2B22"/>
    <w:rsid w:val="001C39F3"/>
    <w:rsid w:val="0024301A"/>
    <w:rsid w:val="00276A94"/>
    <w:rsid w:val="002B20B3"/>
    <w:rsid w:val="004A1FF9"/>
    <w:rsid w:val="004B7E8E"/>
    <w:rsid w:val="00547139"/>
    <w:rsid w:val="00576B4E"/>
    <w:rsid w:val="005A26CB"/>
    <w:rsid w:val="007004E3"/>
    <w:rsid w:val="007B565C"/>
    <w:rsid w:val="00973823"/>
    <w:rsid w:val="00980CCB"/>
    <w:rsid w:val="009A2503"/>
    <w:rsid w:val="00A0634B"/>
    <w:rsid w:val="00B631BA"/>
    <w:rsid w:val="00B6455A"/>
    <w:rsid w:val="00BF3B7B"/>
    <w:rsid w:val="00C05929"/>
    <w:rsid w:val="00C06E83"/>
    <w:rsid w:val="00CA7D61"/>
    <w:rsid w:val="00CD1045"/>
    <w:rsid w:val="00D161BC"/>
    <w:rsid w:val="00EF5D7A"/>
    <w:rsid w:val="00FE429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9</cp:revision>
  <cp:lastPrinted>2019-10-03T09:03:00Z</cp:lastPrinted>
  <dcterms:created xsi:type="dcterms:W3CDTF">2019-10-01T14:44:00Z</dcterms:created>
  <dcterms:modified xsi:type="dcterms:W3CDTF">2020-05-12T08:11:00Z</dcterms:modified>
</cp:coreProperties>
</file>