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Pr="000903F8" w:rsidRDefault="005A26CB" w:rsidP="009A2503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903F8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0903F8" w:rsidRPr="009A2503" w:rsidRDefault="000903F8" w:rsidP="009A2503">
      <w:pPr>
        <w:pStyle w:val="Odlomakpopis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5A26CB" w:rsidRPr="009A2503" w:rsidRDefault="005A26CB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A2503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9A2503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9A250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9A2503">
        <w:rPr>
          <w:rFonts w:cstheme="minorHAnsi"/>
          <w:color w:val="000000" w:themeColor="text1"/>
          <w:sz w:val="24"/>
          <w:szCs w:val="24"/>
        </w:rPr>
        <w:t>)</w:t>
      </w:r>
    </w:p>
    <w:p w:rsidR="00CA7D61" w:rsidRDefault="00CA7D61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A250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8436E8" w:rsidRDefault="008436E8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Zakon o izvršavanju Državnog proračuna Republike Hrvatske za 2020. godinu („Narodne novine“, broj 117/19, 32/20, 42/20, 58/20 i 124/20)</w:t>
      </w:r>
    </w:p>
    <w:p w:rsidR="008436E8" w:rsidRPr="009A2503" w:rsidRDefault="008436E8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Naputak o načinu isplate beskamatnog zajma jedinicama lokalne i područne (regionalne) samouprave, Hrvatskom zavodu za mirovinsko osiguranje </w:t>
      </w:r>
      <w:r w:rsidR="003F4431">
        <w:rPr>
          <w:rFonts w:cstheme="minorHAnsi"/>
          <w:color w:val="000000" w:themeColor="text1"/>
          <w:sz w:val="24"/>
          <w:szCs w:val="24"/>
        </w:rPr>
        <w:t>i Hrvatskom zavodu za zdravstveno osiguranje („Narodne novine“, broj 46/20, 130/20 i 5/21)</w:t>
      </w:r>
    </w:p>
    <w:p w:rsidR="00CA7D61" w:rsidRPr="009A2503" w:rsidRDefault="00CA7D61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CA7D61" w:rsidRPr="009A2503" w:rsidRDefault="008D2AD5" w:rsidP="00CA7D61">
      <w:p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>Jedinica lokalne i područne (regionalne) samouprave može se zaduživati uzimanjem kredita, zajmova i izdavanjem vrijednosnih papira. Ukupna </w:t>
      </w:r>
      <w:r w:rsidR="00CA7D61"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godišnja obveza</w:t>
      </w:r>
      <w:r w:rsidR="00CA7D61" w:rsidRPr="009A2503">
        <w:rPr>
          <w:rStyle w:val="Naglaeno"/>
          <w:rFonts w:cstheme="minorHAnsi"/>
          <w:color w:val="232323"/>
          <w:sz w:val="24"/>
          <w:szCs w:val="24"/>
          <w:shd w:val="clear" w:color="auto" w:fill="FFFFFF"/>
        </w:rPr>
        <w:t> </w:t>
      </w:r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>jedinice lokalne i područne (regionalne) samouprave može iznositi </w:t>
      </w:r>
      <w:r w:rsidR="00CA7D61"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najviše do 20 %</w:t>
      </w:r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> ostvarenih </w:t>
      </w:r>
      <w:r w:rsidR="00CA7D61"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 xml:space="preserve">prihoda </w:t>
      </w:r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>u godini koja prethodi godini u kojoj se zadužuje. Navedeno ograničenje </w:t>
      </w:r>
      <w:r w:rsidR="00CA7D61"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ne odnosi se na projekte</w:t>
      </w:r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 koji se sufinanciraju iz </w:t>
      </w:r>
      <w:proofErr w:type="spellStart"/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>pretpristupnih</w:t>
      </w:r>
      <w:proofErr w:type="spellEnd"/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programa i fondova </w:t>
      </w:r>
      <w:r w:rsidR="00CA7D61"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Europske unije</w:t>
      </w:r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> i na projekte iz područja unapređenja </w:t>
      </w:r>
      <w:r w:rsidR="00CA7D61"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energetske učinkovitosti</w:t>
      </w:r>
      <w:r w:rsidR="00CA7D61" w:rsidRPr="009A2503">
        <w:rPr>
          <w:rFonts w:cstheme="minorHAnsi"/>
          <w:b/>
          <w:color w:val="232323"/>
          <w:sz w:val="24"/>
          <w:szCs w:val="24"/>
          <w:shd w:val="clear" w:color="auto" w:fill="FFFFFF"/>
        </w:rPr>
        <w:t>.</w:t>
      </w:r>
    </w:p>
    <w:p w:rsidR="00E75BA1" w:rsidRDefault="008D2AD5" w:rsidP="00CA7D61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CD1045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9A2503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CD1045">
        <w:rPr>
          <w:rFonts w:cstheme="minorHAnsi"/>
          <w:color w:val="232323"/>
          <w:sz w:val="24"/>
          <w:szCs w:val="24"/>
          <w:shd w:val="clear" w:color="auto" w:fill="FFFFFF"/>
        </w:rPr>
        <w:t xml:space="preserve"> i 01/20</w:t>
      </w:r>
      <w:r w:rsidR="00CA7D61" w:rsidRPr="009A2503">
        <w:rPr>
          <w:rFonts w:cstheme="minorHAnsi"/>
          <w:color w:val="232323"/>
          <w:sz w:val="24"/>
          <w:szCs w:val="24"/>
          <w:shd w:val="clear" w:color="auto" w:fill="FFFFFF"/>
        </w:rPr>
        <w:t>), izvještaj o zaduživanju na domaćem i stranom tržištu novca i kapitala daje pregled zaduživanja u izvještajnom razdoblju po instrumentima zaduženja, valutnoj, kamatnoj i ročnoj strukturi.</w:t>
      </w:r>
    </w:p>
    <w:p w:rsidR="0024301A" w:rsidRPr="0024301A" w:rsidRDefault="008D2AD5" w:rsidP="002430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B631BA">
        <w:rPr>
          <w:rFonts w:cstheme="minorHAnsi"/>
          <w:color w:val="232323"/>
          <w:sz w:val="24"/>
          <w:szCs w:val="24"/>
          <w:shd w:val="clear" w:color="auto" w:fill="FFFFFF"/>
        </w:rPr>
        <w:t>Postojeći dugoročni tuzemni kredit u otplati odnosi se na kreditno zaduženje</w:t>
      </w:r>
      <w:r w:rsidR="00B631BA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Grada Novske kod Privredne banke Zagreb d.d. za financiranje kapitalnih projekata izgradnje spojne ceste – obilaznica D 47 – Tina Ujevića i izgradnje pristupne infrastrukture do Poduzetničke zone Novska na iznos od 11.000.000,00 kn</w:t>
      </w:r>
      <w:r w:rsidR="00C90FF0">
        <w:rPr>
          <w:rFonts w:cstheme="minorHAnsi"/>
          <w:color w:val="232323"/>
          <w:sz w:val="24"/>
          <w:szCs w:val="24"/>
          <w:shd w:val="clear" w:color="auto" w:fill="FFFFFF"/>
        </w:rPr>
        <w:t xml:space="preserve"> (Broj ugovora/partije: 5110153323)</w:t>
      </w:r>
      <w:r w:rsidR="00B631BA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s valutnom klauzulom u eurima, rok otplate deset godina bez počeka.</w:t>
      </w:r>
      <w:r w:rsidR="00B631BA">
        <w:rPr>
          <w:rFonts w:cstheme="minorHAnsi"/>
          <w:color w:val="232323"/>
          <w:sz w:val="24"/>
          <w:szCs w:val="24"/>
          <w:shd w:val="clear" w:color="auto" w:fill="FFFFFF"/>
        </w:rPr>
        <w:t xml:space="preserve"> Navedeno kreditno zaduženje odobrilo je Gradsko vijeće Grada Novske </w:t>
      </w:r>
      <w:r w:rsidR="00B631BA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Na iskorišteni iznos kredita (1.427.965,36 EUR) obračunava se redovna godišnja fiksna kamatna stopa u visini 3,69 %. Naplata glavnice i redovne kamate vrši se tromjesečno na zadnji dan svakog t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romjesečja, i to počevši od 31.12.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2013. godine koji je definiran kao datum prijenosa kredita u otplatu 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Dodatkom II Ugovora od 10.09.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2013. godine. Prema otplatnom planu dugoročnog tuzemnog kredita otplata kredita započela je s 1.1.2014. i trajat će do 31.12.2023. godine. Navedeno kreditno zaduženje odobrilo je Gradsko vijeće Grada Novske na sjednici održanoj 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05.07.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2011. godine („Službeni vjesnik“, broj 29/11).</w:t>
      </w:r>
    </w:p>
    <w:p w:rsidR="00167A56" w:rsidRDefault="008D2AD5" w:rsidP="00167A5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Na 20. sjednici održanoj 30.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05.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2019. godine Gradsko vijeće Grada Novske donijelo je Odluku o kreditnom zaduženju</w:t>
      </w:r>
      <w:r w:rsidR="00276A94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(„Službeni vjesnik“,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broj 30/19)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podizanjem dugoročnog tuzemnog kredita za financiranje kapitalnog projekta „</w:t>
      </w:r>
      <w:proofErr w:type="spellStart"/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Klaster</w:t>
      </w:r>
      <w:proofErr w:type="spellEnd"/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kulture na temeljima kulturne baštine povijesne jezgre Novske“</w:t>
      </w:r>
      <w:r w:rsidR="00276A94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kod Hrvatske poštanske banke d.d. na iznos od 25.000.000,00 kn u</w:t>
      </w:r>
      <w:r w:rsidR="0024301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fiksnu nominalnu kamatnu stopu od 1,50 % na rok otplate 10 godina bez počeka u jednakim mjesečnim ratama </w:t>
      </w:r>
      <w:r w:rsidR="0024301A" w:rsidRPr="0024301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i jednokratnu naknadu za obradu zahtjeva u visini 0,30 % na iznos odobrenog kredita.</w:t>
      </w:r>
      <w:r w:rsidR="0024301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Kredit će se koristiti sukcesivno na temelju dokumentacije od strane korisnika kredita, i to isplatom na račun dobavljača. </w:t>
      </w:r>
      <w:r w:rsid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Vlada Republike Hrvatske je na 176. sjednici održanoj 29.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8.2019. godine donijela Odluku o davanju suglasnosti Gradu za zaduženje kod Hrvatske poštanske banke d.d., Zagreb.</w:t>
      </w:r>
      <w:r w:rsidR="00167A5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izvještajnom razdoblju od 1. siječnja do 31. prosinca 2020. godine nije bilo korištenja kreditnih sredstava za navedeni kapitalni projekt.</w:t>
      </w:r>
    </w:p>
    <w:p w:rsidR="00E75BA1" w:rsidRDefault="00E75BA1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94575" w:rsidRDefault="00E75BA1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="00C06E8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22. sjednici održanoj 23. kolovoza 2019. godine Gradsko vijeće Grada Novske donijelo je Odluku u kratkoročnom kreditnom zaduženju Grada Novske („Službeni vjesnik“, broj 53/19), kod kreditora Privredne banke Zagreb d.d. s namjenom dopuštenog prekoračenja po transakcijskom računu do iznosa od 7.000.000,00 kn. Na iskorišteni iznos kredita, počevši od prvog dana korištenja kredita obračunava se redovna kamata po stopi u visini prinosa na trezorske zapise Ministarstva financija RH na 182 dana uvećano za kamatnu maržu od 1,20 %, godišnje, promjenjiva. Obračun i naplata kamate vrši se mjesečno na zadnji dan svakog mjeseca, odnosno o roku dospijeća kredita. Naknada za obradu zahtjeva </w:t>
      </w:r>
      <w:r w:rsidR="007004E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iznosi </w:t>
      </w:r>
      <w:r w:rsidR="00C06E83">
        <w:rPr>
          <w:rFonts w:cstheme="minorHAnsi"/>
          <w:color w:val="000000" w:themeColor="text1"/>
          <w:sz w:val="24"/>
          <w:szCs w:val="24"/>
          <w:shd w:val="clear" w:color="auto" w:fill="FFFFFF"/>
        </w:rPr>
        <w:t>0,30 % od iznosa kredita, jednokratno unaprijed.</w:t>
      </w:r>
      <w:r w:rsidR="00576B4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Rok </w:t>
      </w:r>
      <w:r w:rsidR="00D161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otplate ovog okvirnog kredita je do 03.09.2020. godine. Iskorišteni iznos dopuštenog prekoračenja po transakcijskom računu Grada Novske na dan 31.12.2019. godine </w:t>
      </w:r>
      <w:r w:rsidR="0029457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iznosio je 4.626.626,05 kn. Navedeni iznos okvirnog kratkoročnog kredita (prekoračenja) vraćen je tijekom prvog polugodišta </w:t>
      </w:r>
      <w:r w:rsidR="00BA2B2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2020. </w:t>
      </w:r>
      <w:r w:rsidR="0029457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godine. Na iskorišteni iznos dopuštenog prekoračenja u razdoblju od siječnja do svibnja </w:t>
      </w:r>
      <w:r w:rsidR="00BA2B2F">
        <w:rPr>
          <w:rFonts w:cstheme="minorHAnsi"/>
          <w:color w:val="000000" w:themeColor="text1"/>
          <w:sz w:val="24"/>
          <w:szCs w:val="24"/>
          <w:shd w:val="clear" w:color="auto" w:fill="FFFFFF"/>
        </w:rPr>
        <w:t>2020.</w:t>
      </w:r>
      <w:bookmarkStart w:id="0" w:name="_GoBack"/>
      <w:bookmarkEnd w:id="0"/>
      <w:r w:rsidR="0029457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563C">
        <w:rPr>
          <w:rFonts w:cstheme="minorHAnsi"/>
          <w:color w:val="000000" w:themeColor="text1"/>
          <w:sz w:val="24"/>
          <w:szCs w:val="24"/>
          <w:shd w:val="clear" w:color="auto" w:fill="FFFFFF"/>
        </w:rPr>
        <w:t>godine obračunate su i podmiren</w:t>
      </w:r>
      <w:r w:rsidR="00294575">
        <w:rPr>
          <w:rFonts w:cstheme="minorHAnsi"/>
          <w:color w:val="000000" w:themeColor="text1"/>
          <w:sz w:val="24"/>
          <w:szCs w:val="24"/>
          <w:shd w:val="clear" w:color="auto" w:fill="FFFFFF"/>
        </w:rPr>
        <w:t>e redovne kamate u iznosu od 14.064,35 kn.</w:t>
      </w:r>
    </w:p>
    <w:p w:rsidR="00C06E83" w:rsidRDefault="007C0C02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Beskamatni zajam jedinicama lokalne i područne (regionalne) samouprave omogućen je zbog potrebe za ublažavanje ekonomskih posljedica uzrokovanih epidemijom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koronavirusa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zadržavanja održivosti financiranja na cijelom području Republike Hrvatske. Naime, na prihode proračuna jedinica lokalne i područne (regionalne) samouprave najznačajniji utjecaj imala je mjera iz seta ekonomskih mjera Vlade RH za pomoć gospodarstvu, kojom je gospodarstvenicima omogućena odgoda plaćanja i/ili obročna otplata te oslobođenje od plaćanja poreza i prireza na dohodak, sukladno posebnom propisu kojim se uređuje opći porezni postupak. </w:t>
      </w:r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>Izmjenama i dopunama Zakona o izvršavanju Državnog proračuna Republike Hrvatske za 2020. godinu iz travnja 2020. godine utvrđena je pravna osnova za isplatu sredstava beskamatnog zajma, radi premošćivanja situacije nastale zbog različite dinamike priljeva sredstava i dospij</w:t>
      </w:r>
      <w:r w:rsidR="0020169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eća obveza tijekom razdoblja </w:t>
      </w:r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trajanja epidemije </w:t>
      </w:r>
      <w:proofErr w:type="spellStart"/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>koronavirusa</w:t>
      </w:r>
      <w:proofErr w:type="spellEnd"/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>, jedinicama lokalne i područne (regionalne) samouprave, Hrvatskom zavodu za zdravstveno osiguranje i Hrvatskom zavodu za mirovinsko osiguranje, a najviše do visine poreza na dohodak, prireza i doprinosa, čijeg je plaćanja porezni obveznik oslobođen, odnosno čije je plaćanje odgođeno i/ili je odobrena obročna otplata, kao i do visine izvršenog povrata preplaćenog poreza na dohodak u provedbi posebnog postupka. Grad Novska je podnio Zahtjev za isplatu sredstava beskamatnog zajma Ministarstvu financija RH</w:t>
      </w:r>
      <w:r w:rsidR="007D6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te je po osnovi beskamatnog zajma Gradu Novska isplaćeno 3.900.931,51 kn. Na dan 31. prosinca 2020. godine </w:t>
      </w:r>
      <w:r w:rsidR="0020169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obveza za beskamatni zajam po osnovi poreza na dohodak i prireza porezu na dohodak čije je plaćanje odgođeno i/ili je odobrena obročna otplata iznosi 891.938,65 kn, a obveza za beskamatni zajam do visine izvršenog povrata po godišnjem obračunu poreza na dohodak 1.927.962,36 kn. </w:t>
      </w:r>
    </w:p>
    <w:p w:rsidR="0020169E" w:rsidRDefault="007D601A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Povrat dijela sredstava isplaćenog beskamatnog zajma na ime poreza na dohodak, prireza porezu na dohodak i doprinosa čije je plaćanje odgođeno i/ili je odobrena obročna otplata, vršit će se na račun državnog proračuna ustezanjem budućih uplata poreznog obveznika na ime odgođene/reprogramirane obveze. JLP(R)S neće primati te uplate, niti će otplaćivati anuitete, već će obustave provoditi Financijska agencija d.d. </w:t>
      </w:r>
      <w:r w:rsidR="0020169E">
        <w:rPr>
          <w:rFonts w:cstheme="minorHAnsi"/>
          <w:color w:val="000000" w:themeColor="text1"/>
          <w:sz w:val="24"/>
          <w:szCs w:val="24"/>
          <w:shd w:val="clear" w:color="auto" w:fill="FFFFFF"/>
        </w:rPr>
        <w:t>Po ovoj osnovi u 2020. godini vraćeno je 1.081.030,50 kn beskamatnog zajma.</w:t>
      </w:r>
    </w:p>
    <w:p w:rsidR="00B3681C" w:rsidRDefault="0020169E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Povrat dijela isplaćenog beskamatnog zajma </w:t>
      </w:r>
      <w:r w:rsidR="007D601A">
        <w:rPr>
          <w:rFonts w:cstheme="minorHAnsi"/>
          <w:color w:val="000000" w:themeColor="text1"/>
          <w:sz w:val="24"/>
          <w:szCs w:val="24"/>
          <w:shd w:val="clear" w:color="auto" w:fill="FFFFFF"/>
        </w:rPr>
        <w:t>u visini povrata poreza na dohodak temeljem utvrđenog godišnjeg obračuna, JLP(R)S je u obvezi izvršiti na račun državnog proračuna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najduže u roku od godinu dana, odnosno tijekom 2021. godine.</w:t>
      </w:r>
    </w:p>
    <w:p w:rsidR="001227B2" w:rsidRDefault="001227B2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227B2" w:rsidRDefault="001227B2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227B2" w:rsidRDefault="001227B2" w:rsidP="001227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ab/>
        <w:t>Na 33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. sjed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nici održanoj 12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11.2020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. godine Gradsko vijeće Grada Novske donijelo je Odluku o kreditnom zaduženju („Službeni vjesnik“,</w:t>
      </w:r>
      <w:r w:rsidR="005D47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broj 74/20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podizanjem dugoročnog tuzemnog kredita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za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kupnju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poslovne zgrade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Novskoj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kod Hrvatske poštanske banke d.d., na iznos glavnice do 7.800.000,00 kn, uz fiksnu nominalnu kamatnu stopu od 1,35 % na rok otplate deset godina u jednakim mjesečnim ratama s počekom od 12 mjeseci od korištenja kredita. Kredit će se koristiti jednokratno isplatom na račun prodavatelja. </w:t>
      </w:r>
      <w:r w:rsidR="005D477B">
        <w:rPr>
          <w:rFonts w:cstheme="minorHAnsi"/>
          <w:color w:val="000000" w:themeColor="text1"/>
          <w:sz w:val="24"/>
          <w:szCs w:val="24"/>
          <w:shd w:val="clear" w:color="auto" w:fill="FFFFFF"/>
        </w:rPr>
        <w:t>Jednokratna naknada za obradu zahtjeva iznosi 0,30 % od iznosa odobrenog kredita.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Vlada Republike Hrvatske</w:t>
      </w:r>
      <w:r w:rsidR="005D47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je na sjednici održanoj 30.12.2020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 godine donijela Odluku o</w:t>
      </w:r>
      <w:r w:rsidR="005D47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davanju suglasnosti Gradu za zaduženje kod Hrvatske poštanske banke d.d., Zagreb.</w:t>
      </w:r>
      <w:r w:rsidR="008F368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Kredit je realiziran u ožujku 2021. </w:t>
      </w:r>
      <w:r w:rsidR="00F122BF">
        <w:rPr>
          <w:rFonts w:cstheme="minorHAnsi"/>
          <w:color w:val="000000" w:themeColor="text1"/>
          <w:sz w:val="24"/>
          <w:szCs w:val="24"/>
          <w:shd w:val="clear" w:color="auto" w:fill="FFFFFF"/>
        </w:rPr>
        <w:t>g</w:t>
      </w:r>
      <w:r w:rsidR="008F3683">
        <w:rPr>
          <w:rFonts w:cstheme="minorHAnsi"/>
          <w:color w:val="000000" w:themeColor="text1"/>
          <w:sz w:val="24"/>
          <w:szCs w:val="24"/>
          <w:shd w:val="clear" w:color="auto" w:fill="FFFFFF"/>
        </w:rPr>
        <w:t>odine</w:t>
      </w:r>
      <w:r w:rsidR="00F122B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iznosu od 7.791.400,00 kn</w:t>
      </w:r>
      <w:r w:rsidR="008F3683">
        <w:rPr>
          <w:rFonts w:cstheme="minorHAnsi"/>
          <w:color w:val="000000" w:themeColor="text1"/>
          <w:sz w:val="24"/>
          <w:szCs w:val="24"/>
          <w:shd w:val="clear" w:color="auto" w:fill="FFFFFF"/>
        </w:rPr>
        <w:t>, te će obveze po navedenom dugoročnom kreditu biti iskazane u izvještaju o zaduženju polugodišnjeg izvršenja proračuna Grada Novske za razdoblje od siječnja do lipnja 2021. godine.</w:t>
      </w:r>
    </w:p>
    <w:p w:rsidR="001227B2" w:rsidRPr="0024301A" w:rsidRDefault="001227B2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1227B2" w:rsidRPr="002430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B2" w:rsidRDefault="001227B2" w:rsidP="002B20B3">
      <w:pPr>
        <w:spacing w:after="0" w:line="240" w:lineRule="auto"/>
      </w:pPr>
      <w:r>
        <w:separator/>
      </w:r>
    </w:p>
  </w:endnote>
  <w:endnote w:type="continuationSeparator" w:id="0">
    <w:p w:rsidR="001227B2" w:rsidRDefault="001227B2" w:rsidP="002B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14701"/>
      <w:docPartObj>
        <w:docPartGallery w:val="Page Numbers (Bottom of Page)"/>
        <w:docPartUnique/>
      </w:docPartObj>
    </w:sdtPr>
    <w:sdtEndPr/>
    <w:sdtContent>
      <w:p w:rsidR="001227B2" w:rsidRDefault="001227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2F">
          <w:rPr>
            <w:noProof/>
          </w:rPr>
          <w:t>2</w:t>
        </w:r>
        <w:r>
          <w:fldChar w:fldCharType="end"/>
        </w:r>
      </w:p>
    </w:sdtContent>
  </w:sdt>
  <w:p w:rsidR="001227B2" w:rsidRDefault="001227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B2" w:rsidRDefault="001227B2" w:rsidP="002B20B3">
      <w:pPr>
        <w:spacing w:after="0" w:line="240" w:lineRule="auto"/>
      </w:pPr>
      <w:r>
        <w:separator/>
      </w:r>
    </w:p>
  </w:footnote>
  <w:footnote w:type="continuationSeparator" w:id="0">
    <w:p w:rsidR="001227B2" w:rsidRDefault="001227B2" w:rsidP="002B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A9A8292C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45233"/>
    <w:rsid w:val="000903F8"/>
    <w:rsid w:val="000A2B22"/>
    <w:rsid w:val="001227B2"/>
    <w:rsid w:val="00167A56"/>
    <w:rsid w:val="001C39F3"/>
    <w:rsid w:val="0020169E"/>
    <w:rsid w:val="0024301A"/>
    <w:rsid w:val="00276A94"/>
    <w:rsid w:val="00294575"/>
    <w:rsid w:val="002B20B3"/>
    <w:rsid w:val="003F4431"/>
    <w:rsid w:val="004A1FF9"/>
    <w:rsid w:val="004B7E8E"/>
    <w:rsid w:val="00547139"/>
    <w:rsid w:val="00576B4E"/>
    <w:rsid w:val="005A26CB"/>
    <w:rsid w:val="005D477B"/>
    <w:rsid w:val="007004E3"/>
    <w:rsid w:val="007B565C"/>
    <w:rsid w:val="007C0C02"/>
    <w:rsid w:val="007D601A"/>
    <w:rsid w:val="008436E8"/>
    <w:rsid w:val="008D2AD5"/>
    <w:rsid w:val="008F3683"/>
    <w:rsid w:val="00973823"/>
    <w:rsid w:val="00980CCB"/>
    <w:rsid w:val="009A2503"/>
    <w:rsid w:val="00A0634B"/>
    <w:rsid w:val="00B1563C"/>
    <w:rsid w:val="00B3681C"/>
    <w:rsid w:val="00B631BA"/>
    <w:rsid w:val="00B6455A"/>
    <w:rsid w:val="00BA2B2F"/>
    <w:rsid w:val="00BF3B7B"/>
    <w:rsid w:val="00C05929"/>
    <w:rsid w:val="00C06E83"/>
    <w:rsid w:val="00C26C2A"/>
    <w:rsid w:val="00C90FF0"/>
    <w:rsid w:val="00CA7D61"/>
    <w:rsid w:val="00CD1045"/>
    <w:rsid w:val="00D161BC"/>
    <w:rsid w:val="00E75BA1"/>
    <w:rsid w:val="00EF5D7A"/>
    <w:rsid w:val="00F122BF"/>
    <w:rsid w:val="00FE429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30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30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22</cp:revision>
  <cp:lastPrinted>2021-04-28T08:37:00Z</cp:lastPrinted>
  <dcterms:created xsi:type="dcterms:W3CDTF">2019-10-01T14:44:00Z</dcterms:created>
  <dcterms:modified xsi:type="dcterms:W3CDTF">2021-06-02T13:19:00Z</dcterms:modified>
</cp:coreProperties>
</file>