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7B932295" w14:textId="77777777" w:rsidR="00F0387C" w:rsidRDefault="00654183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54183">
        <w:rPr>
          <w:rFonts w:cstheme="minorHAnsi"/>
          <w:b/>
          <w:sz w:val="24"/>
          <w:szCs w:val="24"/>
        </w:rPr>
        <w:t>JAVNI POZIV VJERSKIM ZAJEDNICAMA ZA PREDLAGANJE PROJEKATA UREĐENJA I OPREMANJA SAKRALNIH I DRUGIH VJERSKIH OBJEKATA NA PODRUČJU GRADA NOVSKE</w:t>
      </w:r>
      <w:r>
        <w:rPr>
          <w:rFonts w:cstheme="minorHAnsi"/>
          <w:b/>
          <w:sz w:val="24"/>
          <w:szCs w:val="24"/>
        </w:rPr>
        <w:t xml:space="preserve"> TE </w:t>
      </w:r>
      <w:r w:rsidR="00F0387C">
        <w:rPr>
          <w:rFonts w:cstheme="minorHAnsi"/>
          <w:b/>
          <w:sz w:val="24"/>
          <w:szCs w:val="24"/>
        </w:rPr>
        <w:t>DODJELU SREDSTAVA ZA DODATNO FINACIRANJE UDRUGA IZ DOMOVINSKOG RATA</w:t>
      </w:r>
    </w:p>
    <w:p w14:paraId="5ACD1483" w14:textId="12531D71" w:rsidR="00144FB8" w:rsidRPr="00A906E4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297B766C" w:rsidR="007F399E" w:rsidRPr="009630B6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9630B6">
        <w:rPr>
          <w:rFonts w:cstheme="minorHAnsi"/>
          <w:b/>
          <w:i/>
          <w:sz w:val="24"/>
          <w:szCs w:val="24"/>
        </w:rPr>
        <w:t xml:space="preserve">DATUM OBJAVE:           </w:t>
      </w:r>
      <w:r w:rsidR="00597669" w:rsidRPr="009630B6">
        <w:rPr>
          <w:rFonts w:cstheme="minorHAnsi"/>
          <w:b/>
          <w:i/>
          <w:sz w:val="24"/>
          <w:szCs w:val="24"/>
        </w:rPr>
        <w:t>02</w:t>
      </w:r>
      <w:r w:rsidR="000A5AB8" w:rsidRPr="009630B6">
        <w:rPr>
          <w:rFonts w:cstheme="minorHAnsi"/>
          <w:b/>
          <w:i/>
          <w:sz w:val="24"/>
          <w:szCs w:val="24"/>
        </w:rPr>
        <w:t>.</w:t>
      </w:r>
      <w:r w:rsidR="00597669" w:rsidRPr="009630B6">
        <w:rPr>
          <w:rFonts w:cstheme="minorHAnsi"/>
          <w:b/>
          <w:i/>
          <w:sz w:val="24"/>
          <w:szCs w:val="24"/>
        </w:rPr>
        <w:t>10</w:t>
      </w:r>
      <w:r w:rsidRPr="009630B6">
        <w:rPr>
          <w:rFonts w:cstheme="minorHAnsi"/>
          <w:b/>
          <w:i/>
          <w:sz w:val="24"/>
          <w:szCs w:val="24"/>
        </w:rPr>
        <w:t>.20</w:t>
      </w:r>
      <w:r w:rsidR="006770CF" w:rsidRPr="009630B6">
        <w:rPr>
          <w:rFonts w:cstheme="minorHAnsi"/>
          <w:b/>
          <w:i/>
          <w:sz w:val="24"/>
          <w:szCs w:val="24"/>
        </w:rPr>
        <w:t>2</w:t>
      </w:r>
      <w:r w:rsidR="004751F1" w:rsidRPr="009630B6">
        <w:rPr>
          <w:rFonts w:cstheme="minorHAnsi"/>
          <w:b/>
          <w:i/>
          <w:sz w:val="24"/>
          <w:szCs w:val="24"/>
        </w:rPr>
        <w:t>4</w:t>
      </w:r>
      <w:r w:rsidRPr="009630B6">
        <w:rPr>
          <w:rFonts w:cstheme="minorHAnsi"/>
          <w:b/>
          <w:i/>
          <w:sz w:val="24"/>
          <w:szCs w:val="24"/>
        </w:rPr>
        <w:t>.</w:t>
      </w:r>
    </w:p>
    <w:p w14:paraId="4E39F8F8" w14:textId="1E79524F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9630B6">
        <w:rPr>
          <w:rFonts w:cstheme="minorHAnsi"/>
          <w:b/>
          <w:i/>
          <w:sz w:val="24"/>
          <w:szCs w:val="24"/>
        </w:rPr>
        <w:t xml:space="preserve">ROK PRIJAVE                 </w:t>
      </w:r>
      <w:r w:rsidR="00597669" w:rsidRPr="009630B6">
        <w:rPr>
          <w:rFonts w:cstheme="minorHAnsi"/>
          <w:b/>
          <w:i/>
          <w:sz w:val="24"/>
          <w:szCs w:val="24"/>
        </w:rPr>
        <w:t>04</w:t>
      </w:r>
      <w:r w:rsidR="000A5AB8" w:rsidRPr="009630B6">
        <w:rPr>
          <w:rFonts w:cstheme="minorHAnsi"/>
          <w:b/>
          <w:i/>
          <w:sz w:val="24"/>
          <w:szCs w:val="24"/>
        </w:rPr>
        <w:t>.</w:t>
      </w:r>
      <w:r w:rsidR="00597669" w:rsidRPr="009630B6">
        <w:rPr>
          <w:rFonts w:cstheme="minorHAnsi"/>
          <w:b/>
          <w:i/>
          <w:sz w:val="24"/>
          <w:szCs w:val="24"/>
        </w:rPr>
        <w:t>11</w:t>
      </w:r>
      <w:r w:rsidR="006770CF" w:rsidRPr="009630B6">
        <w:rPr>
          <w:rFonts w:cstheme="minorHAnsi"/>
          <w:b/>
          <w:i/>
          <w:sz w:val="24"/>
          <w:szCs w:val="24"/>
        </w:rPr>
        <w:t>.202</w:t>
      </w:r>
      <w:r w:rsidR="004751F1" w:rsidRPr="009630B6">
        <w:rPr>
          <w:rFonts w:cstheme="minorHAnsi"/>
          <w:b/>
          <w:i/>
          <w:sz w:val="24"/>
          <w:szCs w:val="24"/>
        </w:rPr>
        <w:t>4</w:t>
      </w:r>
      <w:r w:rsidRPr="009630B6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0E09D1AC" w14:textId="77777777" w:rsidR="00597669" w:rsidRPr="00597669" w:rsidRDefault="00BD6B7C" w:rsidP="0059766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97669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597669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</w:t>
      </w:r>
      <w:r w:rsidR="00597669" w:rsidRPr="00597669">
        <w:rPr>
          <w:rFonts w:cstheme="minorHAnsi"/>
          <w:b/>
          <w:sz w:val="24"/>
          <w:szCs w:val="24"/>
        </w:rPr>
        <w:t>PROJEKATA UREĐENJA I OPREMANJA SAKRALNIH I DRUGIH VJERSKIH OBJEKATA NA PODRUČJU GRADA NOVSKE TE DODJELU SREDSTAVA ZA DODATNO FINACIRANJE UDRUGA IZ DOMOVINSKOG RATA</w:t>
      </w:r>
    </w:p>
    <w:p w14:paraId="1147037F" w14:textId="29BD62B1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31A6A1A1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2382ED17" w:rsidR="004830FF" w:rsidRPr="00A906E4" w:rsidRDefault="009F6BE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4830FF" w:rsidRPr="00A906E4">
        <w:rPr>
          <w:rFonts w:cstheme="minorHAnsi"/>
          <w:sz w:val="22"/>
          <w:szCs w:val="22"/>
        </w:rPr>
        <w:t>ilj javnog poziva</w:t>
      </w:r>
    </w:p>
    <w:p w14:paraId="012189C7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2311190E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14:paraId="61FAFCFC" w14:textId="77777777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1A4581FD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E825C4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3B7F80">
        <w:rPr>
          <w:rFonts w:cstheme="minorHAnsi"/>
          <w:b/>
          <w:sz w:val="22"/>
          <w:szCs w:val="22"/>
        </w:rPr>
        <w:t>5</w:t>
      </w:r>
    </w:p>
    <w:p w14:paraId="3F725AEB" w14:textId="483B5C05" w:rsidR="00AC0B04" w:rsidRPr="00A906E4" w:rsidRDefault="00574268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UREĐENJE</w:t>
      </w:r>
      <w:r w:rsidR="009F6BEA">
        <w:rPr>
          <w:rFonts w:cstheme="minorHAnsi"/>
          <w:sz w:val="22"/>
          <w:szCs w:val="22"/>
        </w:rPr>
        <w:t xml:space="preserve"> I OPREMANJE</w:t>
      </w:r>
      <w:r>
        <w:rPr>
          <w:rFonts w:cstheme="minorHAnsi"/>
          <w:sz w:val="22"/>
          <w:szCs w:val="22"/>
        </w:rPr>
        <w:t xml:space="preserve"> SAKRALNIH OBJEKATA</w:t>
      </w:r>
      <w:r w:rsidR="00373DD7" w:rsidRPr="00A906E4">
        <w:rPr>
          <w:rFonts w:cstheme="minorHAnsi"/>
          <w:sz w:val="22"/>
          <w:szCs w:val="22"/>
        </w:rPr>
        <w:t xml:space="preserve"> </w:t>
      </w:r>
    </w:p>
    <w:p w14:paraId="02DE2E30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14:paraId="7E2A4671" w14:textId="68800957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3B7F80">
        <w:rPr>
          <w:rFonts w:cstheme="minorHAnsi"/>
          <w:b/>
          <w:sz w:val="22"/>
          <w:szCs w:val="22"/>
        </w:rPr>
        <w:t>6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3B7F80">
        <w:rPr>
          <w:rFonts w:cstheme="minorHAnsi"/>
          <w:b/>
          <w:sz w:val="22"/>
          <w:szCs w:val="22"/>
        </w:rPr>
        <w:t>0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3D6D7BE9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3B7F80">
        <w:rPr>
          <w:rFonts w:cstheme="minorHAnsi"/>
          <w:b/>
          <w:sz w:val="22"/>
          <w:szCs w:val="22"/>
        </w:rPr>
        <w:t>0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3B7F80">
        <w:rPr>
          <w:rFonts w:cstheme="minorHAnsi"/>
          <w:b/>
          <w:sz w:val="22"/>
          <w:szCs w:val="22"/>
        </w:rPr>
        <w:t>4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7704BA99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3B7F80">
        <w:rPr>
          <w:rFonts w:cstheme="minorHAnsi"/>
          <w:b/>
          <w:sz w:val="22"/>
          <w:szCs w:val="22"/>
        </w:rPr>
        <w:t>4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3B7F80">
        <w:rPr>
          <w:rFonts w:cstheme="minorHAnsi"/>
          <w:b/>
          <w:sz w:val="22"/>
          <w:szCs w:val="22"/>
        </w:rPr>
        <w:t>17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5F217391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</w:t>
      </w:r>
      <w:r w:rsidR="003B7F80">
        <w:rPr>
          <w:rFonts w:cstheme="minorHAnsi"/>
          <w:b/>
          <w:sz w:val="22"/>
          <w:szCs w:val="22"/>
        </w:rPr>
        <w:t xml:space="preserve">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3B7F80">
        <w:rPr>
          <w:rFonts w:cstheme="minorHAnsi"/>
          <w:b/>
          <w:sz w:val="22"/>
          <w:szCs w:val="22"/>
        </w:rPr>
        <w:t>17</w:t>
      </w:r>
      <w:r w:rsidRPr="00A906E4">
        <w:rPr>
          <w:rFonts w:cstheme="minorHAnsi"/>
          <w:b/>
          <w:sz w:val="22"/>
          <w:szCs w:val="22"/>
        </w:rPr>
        <w:t>-</w:t>
      </w:r>
      <w:r w:rsidR="003B7F80">
        <w:rPr>
          <w:rFonts w:cstheme="minorHAnsi"/>
          <w:b/>
          <w:sz w:val="22"/>
          <w:szCs w:val="22"/>
        </w:rPr>
        <w:t>18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45AD9BE0" w14:textId="63530071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</w:t>
      </w:r>
      <w:r w:rsidR="003B7F80">
        <w:rPr>
          <w:rFonts w:cstheme="minorHAnsi"/>
          <w:b/>
          <w:sz w:val="22"/>
          <w:szCs w:val="22"/>
        </w:rPr>
        <w:t>18-19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76C6B316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3B7F80">
        <w:rPr>
          <w:rFonts w:cstheme="minorHAnsi"/>
          <w:b/>
          <w:sz w:val="22"/>
          <w:szCs w:val="22"/>
        </w:rPr>
        <w:t>19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07ED66B8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3B7F80">
        <w:rPr>
          <w:rFonts w:cstheme="minorHAnsi"/>
          <w:b/>
          <w:sz w:val="22"/>
          <w:szCs w:val="22"/>
        </w:rPr>
        <w:t xml:space="preserve"> 19</w:t>
      </w:r>
      <w:r w:rsidR="00747BFC">
        <w:rPr>
          <w:rFonts w:cstheme="minorHAnsi"/>
          <w:b/>
          <w:sz w:val="22"/>
          <w:szCs w:val="22"/>
        </w:rPr>
        <w:t>-2</w:t>
      </w:r>
      <w:r w:rsidR="003B7F80">
        <w:rPr>
          <w:rFonts w:cstheme="minorHAnsi"/>
          <w:b/>
          <w:sz w:val="22"/>
          <w:szCs w:val="22"/>
        </w:rPr>
        <w:t>0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38C63F6A" w14:textId="77777777"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14:paraId="287B9D53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CDB5F30" w14:textId="77777777" w:rsidR="003B7F80" w:rsidRDefault="003B7F80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25319EA" w14:textId="77777777" w:rsidR="003A33E5" w:rsidRDefault="003A33E5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1B37823" w14:textId="77777777" w:rsidR="003A33E5" w:rsidRDefault="003A33E5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BA3D179" w14:textId="77777777" w:rsidR="003B7F80" w:rsidRDefault="003B7F80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F2273BE" w14:textId="77777777" w:rsidR="003B7F80" w:rsidRDefault="003B7F80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18EA583D" w14:textId="63C27B9A" w:rsidR="00AD410D" w:rsidRPr="00AD410D" w:rsidRDefault="00AD410D" w:rsidP="00AD410D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D410D">
        <w:rPr>
          <w:rFonts w:cstheme="minorHAnsi"/>
          <w:sz w:val="24"/>
          <w:szCs w:val="24"/>
        </w:rPr>
        <w:t xml:space="preserve">Predmet ovog  Javnog poziva je prikupljanje projekata  </w:t>
      </w:r>
      <w:r w:rsidR="00B9373E" w:rsidRPr="00AD410D">
        <w:rPr>
          <w:rFonts w:cstheme="minorHAnsi"/>
          <w:sz w:val="24"/>
          <w:szCs w:val="24"/>
        </w:rPr>
        <w:t>udrug</w:t>
      </w:r>
      <w:r w:rsidR="00B9373E">
        <w:rPr>
          <w:rFonts w:cstheme="minorHAnsi"/>
          <w:sz w:val="24"/>
          <w:szCs w:val="24"/>
        </w:rPr>
        <w:t>a</w:t>
      </w:r>
      <w:r w:rsidR="00B9373E" w:rsidRPr="00AD410D">
        <w:rPr>
          <w:rFonts w:cstheme="minorHAnsi"/>
          <w:sz w:val="24"/>
          <w:szCs w:val="24"/>
        </w:rPr>
        <w:t xml:space="preserve"> iz Domovinskog rata </w:t>
      </w:r>
      <w:r w:rsidRPr="00AD410D">
        <w:rPr>
          <w:rFonts w:cstheme="minorHAnsi"/>
          <w:sz w:val="24"/>
          <w:szCs w:val="24"/>
        </w:rPr>
        <w:t xml:space="preserve">i </w:t>
      </w:r>
      <w:r w:rsidR="00E53C25">
        <w:rPr>
          <w:rFonts w:cstheme="minorHAnsi"/>
          <w:sz w:val="24"/>
          <w:szCs w:val="24"/>
        </w:rPr>
        <w:t>v</w:t>
      </w:r>
      <w:r w:rsidRPr="00AD410D">
        <w:rPr>
          <w:rFonts w:cstheme="minorHAnsi"/>
          <w:sz w:val="24"/>
          <w:szCs w:val="24"/>
        </w:rPr>
        <w:t>jerskih zajednica koji će se u skladu s Uredbom, Pravilnikom i ovim Javnim pozivom financirati iz Proračuna Grada Novske za 20</w:t>
      </w:r>
      <w:r w:rsidR="00B9373E">
        <w:rPr>
          <w:rFonts w:cstheme="minorHAnsi"/>
          <w:sz w:val="24"/>
          <w:szCs w:val="24"/>
        </w:rPr>
        <w:t>24.</w:t>
      </w:r>
      <w:r w:rsidRPr="00AD410D">
        <w:rPr>
          <w:rFonts w:cstheme="minorHAnsi"/>
          <w:sz w:val="24"/>
          <w:szCs w:val="24"/>
        </w:rPr>
        <w:t xml:space="preserve"> godinu, a kojima će se zadovoljiti potrebe iz jednog od sljedećih područja:</w:t>
      </w:r>
    </w:p>
    <w:p w14:paraId="7147E79C" w14:textId="77777777" w:rsidR="00AD410D" w:rsidRPr="00AD410D" w:rsidRDefault="00AD410D" w:rsidP="00AD410D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D410D">
        <w:rPr>
          <w:rFonts w:cstheme="minorHAnsi"/>
          <w:sz w:val="24"/>
          <w:szCs w:val="24"/>
        </w:rPr>
        <w:t>- djelovanja udruga iz Domovinskog rata,</w:t>
      </w:r>
    </w:p>
    <w:p w14:paraId="33FC5181" w14:textId="22238B7F" w:rsidR="00AD410D" w:rsidRDefault="00AD410D" w:rsidP="00AD410D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D410D">
        <w:rPr>
          <w:rFonts w:cstheme="minorHAnsi"/>
          <w:sz w:val="24"/>
          <w:szCs w:val="24"/>
        </w:rPr>
        <w:t xml:space="preserve">- </w:t>
      </w:r>
      <w:r w:rsidR="00B9373E" w:rsidRPr="00B9373E">
        <w:rPr>
          <w:rFonts w:cstheme="minorHAnsi"/>
          <w:sz w:val="24"/>
          <w:szCs w:val="24"/>
        </w:rPr>
        <w:t>obnove, sanacije, uređenja ili opremanja  sakralnih i drugih vjerskih objekata na području Grada Novske</w:t>
      </w:r>
      <w:r w:rsidRPr="00AD410D">
        <w:rPr>
          <w:rFonts w:cstheme="minorHAnsi"/>
          <w:sz w:val="24"/>
          <w:szCs w:val="24"/>
        </w:rPr>
        <w:t>.</w:t>
      </w:r>
    </w:p>
    <w:p w14:paraId="42B7EF88" w14:textId="77777777" w:rsidR="00AD410D" w:rsidRDefault="00AD410D" w:rsidP="00AD410D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6906BE2C" w14:textId="62BFE474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1.2.  </w:t>
      </w:r>
      <w:r w:rsidR="00AD410D">
        <w:rPr>
          <w:rFonts w:cstheme="minorHAnsi"/>
          <w:b/>
          <w:sz w:val="24"/>
          <w:szCs w:val="24"/>
        </w:rPr>
        <w:t>C</w:t>
      </w:r>
      <w:r w:rsidRPr="00A906E4">
        <w:rPr>
          <w:rFonts w:cstheme="minorHAnsi"/>
          <w:b/>
          <w:sz w:val="24"/>
          <w:szCs w:val="24"/>
        </w:rPr>
        <w:t>ilj javnog poziva</w:t>
      </w:r>
    </w:p>
    <w:p w14:paraId="6EC6825D" w14:textId="502504A9" w:rsidR="00AD410D" w:rsidRDefault="00AD410D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D410D">
        <w:rPr>
          <w:rFonts w:cstheme="minorHAnsi"/>
          <w:sz w:val="24"/>
          <w:szCs w:val="24"/>
        </w:rPr>
        <w:t xml:space="preserve">Cilj javnog poziva je zadovoljavanje dijela javnih potreba na području Grada Novske u suradnji i u partnerstvu s novljanskim udrugama iz Domovinskog rata te s vjerskim zajednicama u području obnove, </w:t>
      </w:r>
      <w:r w:rsidR="00B9373E">
        <w:rPr>
          <w:rFonts w:cstheme="minorHAnsi"/>
          <w:sz w:val="24"/>
          <w:szCs w:val="24"/>
        </w:rPr>
        <w:t xml:space="preserve">sanacije, uređenja </w:t>
      </w:r>
      <w:r w:rsidRPr="00AD410D">
        <w:rPr>
          <w:rFonts w:cstheme="minorHAnsi"/>
          <w:sz w:val="24"/>
          <w:szCs w:val="24"/>
        </w:rPr>
        <w:t xml:space="preserve"> ili opremanja sakralnih </w:t>
      </w:r>
      <w:r w:rsidR="00B9373E">
        <w:rPr>
          <w:rFonts w:cstheme="minorHAnsi"/>
          <w:sz w:val="24"/>
          <w:szCs w:val="24"/>
        </w:rPr>
        <w:t xml:space="preserve">i drugih vjerskih </w:t>
      </w:r>
      <w:r w:rsidRPr="00AD410D">
        <w:rPr>
          <w:rFonts w:cstheme="minorHAnsi"/>
          <w:sz w:val="24"/>
          <w:szCs w:val="24"/>
        </w:rPr>
        <w:t>objekata.</w:t>
      </w:r>
    </w:p>
    <w:p w14:paraId="0A98BD07" w14:textId="77777777"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14:paraId="20987D67" w14:textId="0D7EAA13"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dbe Javnog poziva 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FB1D7C">
        <w:rPr>
          <w:rFonts w:asciiTheme="minorHAnsi" w:hAnsiTheme="minorHAnsi" w:cstheme="minorHAnsi"/>
          <w:sz w:val="24"/>
          <w:szCs w:val="24"/>
          <w:lang w:val="hr-HR"/>
        </w:rPr>
        <w:t xml:space="preserve"> i 92/21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50F9351" w14:textId="77777777"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AA1F130" w14:textId="77777777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F0110E7" w14:textId="77777777"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14:paraId="06F23196" w14:textId="462D9315" w:rsidR="00E67E5C" w:rsidRPr="00D650D2" w:rsidRDefault="00E67E5C" w:rsidP="00E67E5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Za sva područja Javnog poziva iz točke 1.1.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 ovih Uputa,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u proračunu Grada Novske 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osigurana su sredstva u ukupnom iznosu od </w:t>
      </w:r>
      <w:r w:rsidR="00C06C5F">
        <w:rPr>
          <w:rFonts w:cstheme="minorHAnsi"/>
          <w:b/>
          <w:sz w:val="24"/>
          <w:szCs w:val="24"/>
        </w:rPr>
        <w:t>31</w:t>
      </w:r>
      <w:r w:rsidR="007D59D8" w:rsidRPr="007D59D8">
        <w:rPr>
          <w:rFonts w:cstheme="minorHAnsi"/>
          <w:b/>
          <w:sz w:val="24"/>
          <w:szCs w:val="24"/>
        </w:rPr>
        <w:t>.</w:t>
      </w:r>
      <w:r w:rsidR="00C06C5F">
        <w:rPr>
          <w:rFonts w:cstheme="minorHAnsi"/>
          <w:b/>
          <w:sz w:val="24"/>
          <w:szCs w:val="24"/>
        </w:rPr>
        <w:t>80</w:t>
      </w:r>
      <w:r w:rsidR="007D59D8" w:rsidRPr="007D59D8">
        <w:rPr>
          <w:rFonts w:cstheme="minorHAnsi"/>
          <w:b/>
          <w:sz w:val="24"/>
          <w:szCs w:val="24"/>
        </w:rPr>
        <w:t>0,00</w:t>
      </w:r>
      <w:r w:rsidR="005D12E3" w:rsidRPr="007D59D8">
        <w:rPr>
          <w:rFonts w:cstheme="minorHAnsi"/>
          <w:sz w:val="24"/>
          <w:szCs w:val="24"/>
        </w:rPr>
        <w:t xml:space="preserve"> </w:t>
      </w:r>
      <w:r w:rsidR="00671C35" w:rsidRPr="00D650D2">
        <w:rPr>
          <w:rFonts w:cstheme="minorHAnsi"/>
          <w:color w:val="000000" w:themeColor="text1"/>
          <w:sz w:val="24"/>
          <w:szCs w:val="24"/>
        </w:rPr>
        <w:t>eura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464EC6F" w14:textId="77777777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6C1272CD" w14:textId="77777777"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lastRenderedPageBreak/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528BC6C3" w14:textId="77777777" w:rsidR="00EF4669" w:rsidRPr="00D650D2" w:rsidRDefault="00EF4669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14:paraId="735E67CE" w14:textId="77777777" w:rsidTr="0030474E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C4FA42" w14:textId="1291E915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42AD3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CC6643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7BF879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F81585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666FA8" w:rsidRPr="00666FA8" w14:paraId="56F0CC64" w14:textId="77777777" w:rsidTr="00366A1B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016EA2" w:rsidRPr="006A39CE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18330DCA" w:rsidR="00016EA2" w:rsidRPr="006A39CE" w:rsidRDefault="003B7F80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7E04A3" w:rsidRPr="006A39CE">
              <w:rPr>
                <w:rFonts w:cstheme="minorHAnsi"/>
                <w:b/>
                <w:sz w:val="24"/>
                <w:szCs w:val="24"/>
              </w:rPr>
              <w:t xml:space="preserve">ređenje </w:t>
            </w:r>
            <w:r>
              <w:rPr>
                <w:rFonts w:cstheme="minorHAnsi"/>
                <w:b/>
                <w:sz w:val="24"/>
                <w:szCs w:val="24"/>
              </w:rPr>
              <w:t xml:space="preserve">i opremanje </w:t>
            </w:r>
            <w:r w:rsidR="00C067F0" w:rsidRPr="006A39CE">
              <w:rPr>
                <w:rFonts w:cstheme="minorHAnsi"/>
                <w:b/>
                <w:sz w:val="24"/>
                <w:szCs w:val="24"/>
              </w:rPr>
              <w:t>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9C6E5BC" w14:textId="6BE2355F" w:rsidR="00016EA2" w:rsidRPr="006A39CE" w:rsidRDefault="00F0387C" w:rsidP="00B92A6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8D061D" w:rsidRPr="006A39C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30C3A7A6" w:rsidR="00016EA2" w:rsidRPr="006A39CE" w:rsidRDefault="00F343F1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1</w:t>
            </w:r>
            <w:r w:rsidR="00F770F4" w:rsidRPr="006A39C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AFBFAB9" w14:textId="0779CDBF" w:rsidR="00016EA2" w:rsidRPr="006A39CE" w:rsidRDefault="00EA44A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016EA2" w:rsidRPr="006A39C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FCE4A5E" w14:textId="6BD3FB6C" w:rsidR="00016EA2" w:rsidRPr="006A39CE" w:rsidRDefault="00F0387C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807FD13" w14:textId="355F56C0" w:rsidR="00A91E68" w:rsidRPr="006A39CE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Program 10</w:t>
            </w:r>
            <w:r w:rsidR="004040A0" w:rsidRPr="006A39CE">
              <w:rPr>
                <w:rFonts w:cstheme="minorHAnsi"/>
                <w:b/>
                <w:sz w:val="24"/>
                <w:szCs w:val="24"/>
              </w:rPr>
              <w:t>0</w:t>
            </w:r>
            <w:r w:rsidR="008D061D" w:rsidRPr="006A39CE">
              <w:rPr>
                <w:rFonts w:cstheme="minorHAnsi"/>
                <w:b/>
                <w:sz w:val="24"/>
                <w:szCs w:val="24"/>
              </w:rPr>
              <w:t>3</w:t>
            </w:r>
            <w:r w:rsidRPr="006A39CE">
              <w:rPr>
                <w:rFonts w:cstheme="minorHAnsi"/>
                <w:b/>
                <w:sz w:val="24"/>
                <w:szCs w:val="24"/>
              </w:rPr>
              <w:t xml:space="preserve">,         </w:t>
            </w:r>
          </w:p>
          <w:p w14:paraId="55847E5E" w14:textId="1B9F16BF" w:rsidR="00016EA2" w:rsidRPr="006A39CE" w:rsidRDefault="008D061D" w:rsidP="004040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39CE">
              <w:rPr>
                <w:rFonts w:cstheme="minorHAnsi"/>
                <w:b/>
                <w:sz w:val="24"/>
                <w:szCs w:val="24"/>
              </w:rPr>
              <w:t>K</w:t>
            </w:r>
            <w:r w:rsidR="00BA33C8" w:rsidRPr="006A39CE">
              <w:rPr>
                <w:rFonts w:cstheme="minorHAnsi"/>
                <w:b/>
                <w:sz w:val="24"/>
                <w:szCs w:val="24"/>
              </w:rPr>
              <w:t xml:space="preserve"> 10000</w:t>
            </w:r>
            <w:r w:rsidR="004040A0" w:rsidRPr="006A39C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483CD2" w:rsidRPr="00483CD2" w14:paraId="6CDD0C51" w14:textId="77777777" w:rsidTr="00366A1B">
        <w:tc>
          <w:tcPr>
            <w:tcW w:w="850" w:type="dxa"/>
            <w:shd w:val="clear" w:color="auto" w:fill="FBE4D5" w:themeFill="accent2" w:themeFillTint="33"/>
          </w:tcPr>
          <w:p w14:paraId="140C3B83" w14:textId="3E6202CB" w:rsidR="00016EA2" w:rsidRPr="00483CD2" w:rsidRDefault="00F0387C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3453CB2F" w14:textId="77777777" w:rsidR="00016EA2" w:rsidRPr="00483CD2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A6A591" w14:textId="78BB3A9B" w:rsidR="00016EA2" w:rsidRPr="00483CD2" w:rsidRDefault="00F0387C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47485F">
              <w:rPr>
                <w:rFonts w:cstheme="minorHAnsi"/>
                <w:b/>
                <w:sz w:val="24"/>
                <w:szCs w:val="24"/>
              </w:rPr>
              <w:t>80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8D061D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2A56D6" w14:textId="488D022B" w:rsidR="00016EA2" w:rsidRPr="00483CD2" w:rsidRDefault="00F0387C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500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C521B31" w14:textId="3EE975D2" w:rsidR="00016EA2" w:rsidRPr="00483CD2" w:rsidRDefault="0047485F" w:rsidP="00F74F8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1.000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4EA23A2" w14:textId="78101FBC" w:rsidR="00016EA2" w:rsidRPr="00483CD2" w:rsidRDefault="00F0387C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65C901" w14:textId="77777777" w:rsidR="00016EA2" w:rsidRPr="00483CD2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 w:rsidRPr="00483CD2">
              <w:rPr>
                <w:rFonts w:cstheme="minorHAnsi"/>
                <w:b/>
                <w:sz w:val="24"/>
                <w:szCs w:val="24"/>
              </w:rPr>
              <w:t>03</w:t>
            </w:r>
            <w:r w:rsidRPr="00483CD2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D650D2" w:rsidRPr="00D650D2" w14:paraId="4931CDF3" w14:textId="77777777" w:rsidTr="0030474E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016EA2" w:rsidRPr="00D650D2" w:rsidRDefault="00016EA2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A4AF5CF" w14:textId="130361EB" w:rsidR="00016EA2" w:rsidRPr="00D650D2" w:rsidRDefault="00F0387C" w:rsidP="009553A8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31.</w:t>
            </w:r>
            <w:r w:rsidR="00C32760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  <w:r w:rsidR="00EA44A7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06418E1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B1B442E" w14:textId="613C9DDA" w:rsidR="00016EA2" w:rsidRPr="00D650D2" w:rsidRDefault="00F0387C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138DC0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B6BCE5" w14:textId="77777777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14:paraId="7B7959F4" w14:textId="77777777"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14:paraId="797CF1C1" w14:textId="77777777"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14:paraId="49536CBA" w14:textId="77777777"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14:paraId="207EFFE7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432BFCB6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14:paraId="098AAA03" w14:textId="77777777"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14:paraId="27A8EB0A" w14:textId="456FCC67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F55394" w:rsidRPr="00A906E4">
        <w:rPr>
          <w:rFonts w:cstheme="minorHAnsi"/>
          <w:b/>
          <w:sz w:val="24"/>
          <w:szCs w:val="24"/>
        </w:rPr>
        <w:t xml:space="preserve"> </w:t>
      </w:r>
      <w:r w:rsidR="007E04A3">
        <w:rPr>
          <w:rFonts w:cstheme="minorHAnsi"/>
          <w:b/>
          <w:sz w:val="24"/>
          <w:szCs w:val="24"/>
        </w:rPr>
        <w:t>UREĐENJE</w:t>
      </w:r>
      <w:r w:rsidR="009F6BEA">
        <w:rPr>
          <w:rFonts w:cstheme="minorHAnsi"/>
          <w:b/>
          <w:sz w:val="24"/>
          <w:szCs w:val="24"/>
        </w:rPr>
        <w:t xml:space="preserve"> I OPREMANJE</w:t>
      </w:r>
      <w:r w:rsidR="00F55394" w:rsidRPr="00A906E4">
        <w:rPr>
          <w:rFonts w:cstheme="minorHAnsi"/>
          <w:b/>
          <w:sz w:val="24"/>
          <w:szCs w:val="24"/>
        </w:rPr>
        <w:t xml:space="preserve"> SAKRALNIH OBJEKATA</w:t>
      </w:r>
    </w:p>
    <w:p w14:paraId="164DB015" w14:textId="77777777"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14:paraId="68A7B002" w14:textId="1558724E" w:rsidR="00F55394" w:rsidRPr="00D650D2" w:rsidRDefault="00F55394" w:rsidP="00F55394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Utvrđeni prioriteti temelje se na Obrazloženju proračuna Grada Novske za 202</w:t>
      </w:r>
      <w:r w:rsidR="00B80F4B">
        <w:rPr>
          <w:rFonts w:cstheme="minorHAnsi"/>
          <w:color w:val="000000" w:themeColor="text1"/>
          <w:sz w:val="24"/>
          <w:szCs w:val="24"/>
        </w:rPr>
        <w:t>4</w:t>
      </w:r>
      <w:r w:rsidRPr="00D650D2">
        <w:rPr>
          <w:rFonts w:cstheme="minorHAnsi"/>
          <w:color w:val="000000" w:themeColor="text1"/>
          <w:sz w:val="24"/>
          <w:szCs w:val="24"/>
        </w:rPr>
        <w:t>. godinu.</w:t>
      </w:r>
    </w:p>
    <w:p w14:paraId="7A84651F" w14:textId="77777777"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14:paraId="17033D6F" w14:textId="77777777" w:rsidR="00F55394" w:rsidRPr="00221A7F" w:rsidRDefault="00F55394" w:rsidP="00F55394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14:paraId="28FE572B" w14:textId="39D3B6AC" w:rsidR="001662D7" w:rsidRPr="003A5CE5" w:rsidRDefault="00F53982" w:rsidP="00F55394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cstheme="minorHAnsi"/>
          <w:sz w:val="24"/>
          <w:szCs w:val="24"/>
          <w:u w:val="single"/>
        </w:rPr>
      </w:pPr>
      <w:r w:rsidRPr="007858C8">
        <w:rPr>
          <w:rFonts w:cstheme="minorHAnsi"/>
          <w:sz w:val="24"/>
          <w:szCs w:val="24"/>
        </w:rPr>
        <w:t>obnov</w:t>
      </w:r>
      <w:r w:rsidR="002E6FE1">
        <w:rPr>
          <w:rFonts w:cstheme="minorHAnsi"/>
          <w:sz w:val="24"/>
          <w:szCs w:val="24"/>
        </w:rPr>
        <w:t>a</w:t>
      </w:r>
      <w:r w:rsidR="003A5CE5">
        <w:rPr>
          <w:rFonts w:cstheme="minorHAnsi"/>
          <w:sz w:val="24"/>
          <w:szCs w:val="24"/>
        </w:rPr>
        <w:t>, sanacija, uređenje il</w:t>
      </w:r>
      <w:r>
        <w:rPr>
          <w:rFonts w:cstheme="minorHAnsi"/>
          <w:sz w:val="24"/>
          <w:szCs w:val="24"/>
        </w:rPr>
        <w:t>i</w:t>
      </w:r>
      <w:r w:rsidRPr="007858C8">
        <w:rPr>
          <w:rFonts w:cstheme="minorHAnsi"/>
          <w:sz w:val="24"/>
          <w:szCs w:val="24"/>
        </w:rPr>
        <w:t xml:space="preserve"> opremanje  sakralnih i drugih vjerskih objekata</w:t>
      </w:r>
      <w:r>
        <w:rPr>
          <w:rFonts w:cstheme="minorHAnsi"/>
          <w:sz w:val="24"/>
          <w:szCs w:val="24"/>
        </w:rPr>
        <w:t xml:space="preserve"> </w:t>
      </w:r>
      <w:r w:rsidR="00F55394" w:rsidRPr="00221A7F">
        <w:rPr>
          <w:rFonts w:cstheme="minorHAnsi"/>
          <w:sz w:val="24"/>
          <w:szCs w:val="24"/>
        </w:rPr>
        <w:t xml:space="preserve">na području Grada Novske te omogućavanje svim vjernicima primjerene i jednake uvjete sudjelovanja na vjerskim obredima. </w:t>
      </w:r>
    </w:p>
    <w:p w14:paraId="4062CA96" w14:textId="77777777"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232CF3F0" w14:textId="225FF545" w:rsidR="00AD410D" w:rsidRPr="00AD410D" w:rsidRDefault="00AD410D" w:rsidP="00AD410D">
      <w:pPr>
        <w:pStyle w:val="Odlomakpopisa"/>
        <w:numPr>
          <w:ilvl w:val="0"/>
          <w:numId w:val="13"/>
        </w:numPr>
        <w:rPr>
          <w:rFonts w:cstheme="minorHAnsi"/>
          <w:color w:val="2E74B5" w:themeColor="accent1" w:themeShade="BF"/>
          <w:sz w:val="24"/>
          <w:szCs w:val="24"/>
        </w:rPr>
      </w:pPr>
      <w:r w:rsidRPr="00AD410D">
        <w:rPr>
          <w:rFonts w:cstheme="minorHAnsi"/>
          <w:color w:val="2E74B5" w:themeColor="accent1" w:themeShade="BF"/>
          <w:sz w:val="24"/>
          <w:szCs w:val="24"/>
        </w:rPr>
        <w:lastRenderedPageBreak/>
        <w:t>Projekti obnove, sanacije</w:t>
      </w:r>
      <w:r>
        <w:rPr>
          <w:rFonts w:cstheme="minorHAnsi"/>
          <w:color w:val="2E74B5" w:themeColor="accent1" w:themeShade="BF"/>
          <w:sz w:val="24"/>
          <w:szCs w:val="24"/>
        </w:rPr>
        <w:t>, uređenja</w:t>
      </w:r>
      <w:r w:rsidRPr="00AD410D">
        <w:rPr>
          <w:rFonts w:cstheme="minorHAnsi"/>
          <w:color w:val="2E74B5" w:themeColor="accent1" w:themeShade="BF"/>
          <w:sz w:val="24"/>
          <w:szCs w:val="24"/>
        </w:rPr>
        <w:t xml:space="preserve"> ili opremanja  sakralnih </w:t>
      </w:r>
      <w:r>
        <w:rPr>
          <w:rFonts w:cstheme="minorHAnsi"/>
          <w:color w:val="2E74B5" w:themeColor="accent1" w:themeShade="BF"/>
          <w:sz w:val="24"/>
          <w:szCs w:val="24"/>
        </w:rPr>
        <w:t xml:space="preserve">i drugih vjerskih </w:t>
      </w:r>
      <w:r w:rsidRPr="00AD410D">
        <w:rPr>
          <w:rFonts w:cstheme="minorHAnsi"/>
          <w:color w:val="2E74B5" w:themeColor="accent1" w:themeShade="BF"/>
          <w:sz w:val="24"/>
          <w:szCs w:val="24"/>
        </w:rPr>
        <w:t xml:space="preserve">objekata na području Grada Novske. </w:t>
      </w:r>
    </w:p>
    <w:p w14:paraId="1FB62A21" w14:textId="09768136" w:rsidR="00246932" w:rsidRPr="00246932" w:rsidRDefault="00246932" w:rsidP="00246932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46932">
        <w:rPr>
          <w:rFonts w:cstheme="minorHAnsi"/>
          <w:b/>
          <w:sz w:val="24"/>
          <w:szCs w:val="24"/>
        </w:rPr>
        <w:t>2.</w:t>
      </w:r>
      <w:r w:rsidR="00A86196">
        <w:rPr>
          <w:rFonts w:cstheme="minorHAnsi"/>
          <w:b/>
          <w:sz w:val="24"/>
          <w:szCs w:val="24"/>
        </w:rPr>
        <w:t>1</w:t>
      </w:r>
      <w:r w:rsidRPr="00246932">
        <w:rPr>
          <w:rFonts w:cstheme="minorHAnsi"/>
          <w:b/>
          <w:sz w:val="24"/>
          <w:szCs w:val="24"/>
        </w:rPr>
        <w:t xml:space="preserve">.4.  </w:t>
      </w:r>
      <w:r w:rsidRPr="00246932">
        <w:rPr>
          <w:rFonts w:cstheme="minorHAnsi"/>
          <w:b/>
          <w:sz w:val="24"/>
          <w:szCs w:val="24"/>
          <w:u w:val="single"/>
        </w:rPr>
        <w:t>Prihvatljivi prijavitelji</w:t>
      </w:r>
    </w:p>
    <w:p w14:paraId="2A7AF16E" w14:textId="55501A74" w:rsidR="00246932" w:rsidRPr="00246932" w:rsidRDefault="00246932" w:rsidP="00246932">
      <w:pPr>
        <w:spacing w:line="240" w:lineRule="auto"/>
        <w:jc w:val="both"/>
        <w:rPr>
          <w:rFonts w:cstheme="minorHAnsi"/>
          <w:sz w:val="24"/>
          <w:szCs w:val="24"/>
        </w:rPr>
      </w:pPr>
      <w:r w:rsidRPr="00246932">
        <w:rPr>
          <w:rFonts w:cstheme="minorHAnsi"/>
          <w:sz w:val="24"/>
          <w:szCs w:val="24"/>
        </w:rPr>
        <w:t xml:space="preserve">Prihvatljivi prijavitelji za ovo područje javnog poziva isključivo su vjerske zajednice sa sjedištem na području Grada Novske, ako se sakralni </w:t>
      </w:r>
      <w:r w:rsidR="00AD410D">
        <w:rPr>
          <w:rFonts w:cstheme="minorHAnsi"/>
          <w:sz w:val="24"/>
          <w:szCs w:val="24"/>
        </w:rPr>
        <w:t xml:space="preserve">ili drugi vjerski </w:t>
      </w:r>
      <w:r w:rsidRPr="00246932">
        <w:rPr>
          <w:rFonts w:cstheme="minorHAnsi"/>
          <w:sz w:val="24"/>
          <w:szCs w:val="24"/>
        </w:rPr>
        <w:t xml:space="preserve">objekt za koji se prijavljuje  projekt obnove, </w:t>
      </w:r>
      <w:r w:rsidR="00AD410D">
        <w:rPr>
          <w:rFonts w:cstheme="minorHAnsi"/>
          <w:sz w:val="24"/>
          <w:szCs w:val="24"/>
        </w:rPr>
        <w:t>sanacije, uređenja ili</w:t>
      </w:r>
      <w:r w:rsidRPr="00246932">
        <w:rPr>
          <w:rFonts w:cstheme="minorHAnsi"/>
          <w:sz w:val="24"/>
          <w:szCs w:val="24"/>
        </w:rPr>
        <w:t xml:space="preserve"> opremanja nalazi na području Grada Novske.</w:t>
      </w:r>
    </w:p>
    <w:p w14:paraId="498CE0B4" w14:textId="3053860D" w:rsidR="00246932" w:rsidRPr="00246932" w:rsidRDefault="00246932" w:rsidP="00246932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46932">
        <w:rPr>
          <w:rFonts w:cstheme="minorHAnsi"/>
          <w:b/>
          <w:sz w:val="24"/>
          <w:szCs w:val="24"/>
        </w:rPr>
        <w:t>2.</w:t>
      </w:r>
      <w:r w:rsidR="00A86196">
        <w:rPr>
          <w:rFonts w:cstheme="minorHAnsi"/>
          <w:b/>
          <w:sz w:val="24"/>
          <w:szCs w:val="24"/>
        </w:rPr>
        <w:t>1</w:t>
      </w:r>
      <w:r w:rsidRPr="00246932">
        <w:rPr>
          <w:rFonts w:cstheme="minorHAnsi"/>
          <w:b/>
          <w:sz w:val="24"/>
          <w:szCs w:val="24"/>
        </w:rPr>
        <w:t xml:space="preserve">.5.  </w:t>
      </w:r>
      <w:r w:rsidRPr="00246932">
        <w:rPr>
          <w:rFonts w:cstheme="minorHAnsi"/>
          <w:b/>
          <w:sz w:val="24"/>
          <w:szCs w:val="24"/>
          <w:u w:val="single"/>
        </w:rPr>
        <w:t>Prihvatljivi troškovi</w:t>
      </w:r>
    </w:p>
    <w:p w14:paraId="3C9527C4" w14:textId="65992610" w:rsidR="00246932" w:rsidRPr="00246932" w:rsidRDefault="00246932" w:rsidP="00246932">
      <w:pPr>
        <w:spacing w:line="240" w:lineRule="auto"/>
        <w:jc w:val="both"/>
        <w:rPr>
          <w:rFonts w:cstheme="minorHAnsi"/>
          <w:sz w:val="24"/>
          <w:szCs w:val="24"/>
        </w:rPr>
      </w:pPr>
      <w:r w:rsidRPr="00246932">
        <w:rPr>
          <w:rFonts w:cstheme="minorHAnsi"/>
          <w:sz w:val="24"/>
          <w:szCs w:val="24"/>
        </w:rPr>
        <w:t xml:space="preserve">Prihvatljivi troškovi su  troškovi </w:t>
      </w:r>
      <w:r w:rsidR="00AD410D" w:rsidRPr="00AD410D">
        <w:rPr>
          <w:rFonts w:cstheme="minorHAnsi"/>
          <w:sz w:val="24"/>
          <w:szCs w:val="24"/>
        </w:rPr>
        <w:t>obnove, sanacije, uređenja ili opremanja  sakralnih i drugih vjerskih objekata na području Grada Novske</w:t>
      </w:r>
      <w:r w:rsidRPr="00246932">
        <w:rPr>
          <w:rFonts w:cstheme="minorHAnsi"/>
          <w:sz w:val="24"/>
          <w:szCs w:val="24"/>
        </w:rPr>
        <w:t xml:space="preserve">. </w:t>
      </w:r>
    </w:p>
    <w:p w14:paraId="412363E4" w14:textId="357A7B34" w:rsidR="00246932" w:rsidRPr="00246932" w:rsidRDefault="00246932" w:rsidP="00246932">
      <w:pPr>
        <w:spacing w:line="240" w:lineRule="auto"/>
        <w:jc w:val="both"/>
        <w:rPr>
          <w:rFonts w:cstheme="minorHAnsi"/>
          <w:sz w:val="24"/>
          <w:szCs w:val="24"/>
        </w:rPr>
      </w:pPr>
      <w:r w:rsidRPr="00246932">
        <w:rPr>
          <w:rFonts w:cstheme="minorHAnsi"/>
          <w:sz w:val="24"/>
          <w:szCs w:val="24"/>
        </w:rPr>
        <w:t xml:space="preserve">Kao prihvatljivi troškovi mogu se priznati i troškovi  završenih </w:t>
      </w:r>
      <w:r w:rsidR="00AD410D">
        <w:rPr>
          <w:rFonts w:cstheme="minorHAnsi"/>
          <w:sz w:val="24"/>
          <w:szCs w:val="24"/>
        </w:rPr>
        <w:t xml:space="preserve">obnova, </w:t>
      </w:r>
      <w:r w:rsidRPr="00246932">
        <w:rPr>
          <w:rFonts w:cstheme="minorHAnsi"/>
          <w:sz w:val="24"/>
          <w:szCs w:val="24"/>
        </w:rPr>
        <w:t xml:space="preserve">sanacija,  </w:t>
      </w:r>
      <w:r w:rsidR="00AD410D">
        <w:rPr>
          <w:rFonts w:cstheme="minorHAnsi"/>
          <w:sz w:val="24"/>
          <w:szCs w:val="24"/>
        </w:rPr>
        <w:t xml:space="preserve">uređenja </w:t>
      </w:r>
      <w:r w:rsidRPr="00246932">
        <w:rPr>
          <w:rFonts w:cstheme="minorHAnsi"/>
          <w:sz w:val="24"/>
          <w:szCs w:val="24"/>
        </w:rPr>
        <w:t xml:space="preserve">ili opremanja  ukoliko   obveze po izvršenim radovima nisu u cijelosti podmirene. </w:t>
      </w:r>
    </w:p>
    <w:p w14:paraId="05BC0BEE" w14:textId="335EA540" w:rsidR="00246932" w:rsidRPr="00246932" w:rsidRDefault="00246932" w:rsidP="00246932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46932">
        <w:rPr>
          <w:rFonts w:cstheme="minorHAnsi"/>
          <w:b/>
          <w:sz w:val="24"/>
          <w:szCs w:val="24"/>
        </w:rPr>
        <w:t>2.</w:t>
      </w:r>
      <w:r w:rsidR="00A86196">
        <w:rPr>
          <w:rFonts w:cstheme="minorHAnsi"/>
          <w:b/>
          <w:sz w:val="24"/>
          <w:szCs w:val="24"/>
        </w:rPr>
        <w:t>1</w:t>
      </w:r>
      <w:r w:rsidRPr="00246932">
        <w:rPr>
          <w:rFonts w:cstheme="minorHAnsi"/>
          <w:b/>
          <w:sz w:val="24"/>
          <w:szCs w:val="24"/>
        </w:rPr>
        <w:t>.6. Kriteriji za izbor programa/projekata</w:t>
      </w:r>
    </w:p>
    <w:p w14:paraId="1A2264BB" w14:textId="5FCD8CF0" w:rsidR="00246932" w:rsidRPr="00246932" w:rsidRDefault="00246932" w:rsidP="00246932">
      <w:pPr>
        <w:spacing w:line="240" w:lineRule="auto"/>
        <w:jc w:val="both"/>
        <w:rPr>
          <w:rFonts w:cstheme="minorHAnsi"/>
          <w:sz w:val="24"/>
          <w:szCs w:val="24"/>
        </w:rPr>
      </w:pPr>
      <w:r w:rsidRPr="00246932">
        <w:rPr>
          <w:rFonts w:cstheme="minorHAnsi"/>
          <w:sz w:val="24"/>
          <w:szCs w:val="24"/>
        </w:rPr>
        <w:t xml:space="preserve">Za ovo područje javnog natječaja pripremljeni su posebni kriteriji koji se mogu pronaći na mrežnim stranicama Grada Novske po nazivom – KRITERIJI 1. – </w:t>
      </w:r>
      <w:bookmarkStart w:id="0" w:name="_Hlk178762301"/>
      <w:r w:rsidR="00AD410D">
        <w:rPr>
          <w:rFonts w:cstheme="minorHAnsi"/>
          <w:sz w:val="24"/>
          <w:szCs w:val="24"/>
        </w:rPr>
        <w:t>O</w:t>
      </w:r>
      <w:r w:rsidR="00AD410D" w:rsidRPr="00AD410D">
        <w:rPr>
          <w:rFonts w:cstheme="minorHAnsi"/>
          <w:sz w:val="24"/>
          <w:szCs w:val="24"/>
        </w:rPr>
        <w:t>bnova, sanacija,  uređenj</w:t>
      </w:r>
      <w:r w:rsidR="00AD410D">
        <w:rPr>
          <w:rFonts w:cstheme="minorHAnsi"/>
          <w:sz w:val="24"/>
          <w:szCs w:val="24"/>
        </w:rPr>
        <w:t>e</w:t>
      </w:r>
      <w:r w:rsidR="00AD410D" w:rsidRPr="00AD410D">
        <w:rPr>
          <w:rFonts w:cstheme="minorHAnsi"/>
          <w:sz w:val="24"/>
          <w:szCs w:val="24"/>
        </w:rPr>
        <w:t xml:space="preserve"> ili opremanj</w:t>
      </w:r>
      <w:r w:rsidR="00AD410D">
        <w:rPr>
          <w:rFonts w:cstheme="minorHAnsi"/>
          <w:sz w:val="24"/>
          <w:szCs w:val="24"/>
        </w:rPr>
        <w:t>e</w:t>
      </w:r>
      <w:r w:rsidR="00AD410D" w:rsidRPr="00AD410D">
        <w:rPr>
          <w:rFonts w:cstheme="minorHAnsi"/>
          <w:sz w:val="24"/>
          <w:szCs w:val="24"/>
        </w:rPr>
        <w:t xml:space="preserve"> </w:t>
      </w:r>
      <w:r w:rsidR="00AD410D">
        <w:rPr>
          <w:rFonts w:cstheme="minorHAnsi"/>
          <w:sz w:val="24"/>
          <w:szCs w:val="24"/>
        </w:rPr>
        <w:t>s</w:t>
      </w:r>
      <w:r w:rsidRPr="00246932">
        <w:rPr>
          <w:rFonts w:cstheme="minorHAnsi"/>
          <w:sz w:val="24"/>
          <w:szCs w:val="24"/>
        </w:rPr>
        <w:t>akralnih objekata.</w:t>
      </w:r>
    </w:p>
    <w:bookmarkEnd w:id="0"/>
    <w:p w14:paraId="347F2769" w14:textId="14BC7973" w:rsidR="00246932" w:rsidRPr="0001042A" w:rsidRDefault="00246932" w:rsidP="00246932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01042A">
        <w:rPr>
          <w:rFonts w:cstheme="minorHAnsi"/>
          <w:b/>
          <w:sz w:val="24"/>
          <w:szCs w:val="24"/>
        </w:rPr>
        <w:t>2.</w:t>
      </w:r>
      <w:r w:rsidR="00A86196" w:rsidRPr="0001042A">
        <w:rPr>
          <w:rFonts w:cstheme="minorHAnsi"/>
          <w:b/>
          <w:sz w:val="24"/>
          <w:szCs w:val="24"/>
        </w:rPr>
        <w:t>1</w:t>
      </w:r>
      <w:r w:rsidRPr="0001042A">
        <w:rPr>
          <w:rFonts w:cstheme="minorHAnsi"/>
          <w:b/>
          <w:sz w:val="24"/>
          <w:szCs w:val="24"/>
        </w:rPr>
        <w:t>.7. Natječajna dokumentacija</w:t>
      </w:r>
    </w:p>
    <w:p w14:paraId="0D17B9F2" w14:textId="77777777" w:rsidR="00246932" w:rsidRPr="0001042A" w:rsidRDefault="00246932" w:rsidP="00246932">
      <w:pPr>
        <w:spacing w:line="240" w:lineRule="auto"/>
        <w:jc w:val="both"/>
        <w:rPr>
          <w:rFonts w:cstheme="minorHAnsi"/>
          <w:sz w:val="24"/>
          <w:szCs w:val="24"/>
        </w:rPr>
      </w:pPr>
      <w:r w:rsidRPr="0001042A">
        <w:rPr>
          <w:rFonts w:cstheme="minorHAnsi"/>
          <w:sz w:val="24"/>
          <w:szCs w:val="24"/>
        </w:rPr>
        <w:t>Vjerske zajednice nisu dužne dostavljati sve propisane obrasce i dokumentaciju iz ovog javnog poziva već dostavljaju samo ono što je na njih primjenjivo.</w:t>
      </w:r>
    </w:p>
    <w:p w14:paraId="364AD5BD" w14:textId="77777777"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FD5CE2C" w14:textId="1961B311"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7B1C23">
        <w:rPr>
          <w:rFonts w:cstheme="minorHAnsi"/>
          <w:b/>
          <w:sz w:val="24"/>
          <w:szCs w:val="24"/>
        </w:rPr>
        <w:t>.</w:t>
      </w:r>
      <w:r w:rsidR="00A86196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14:paraId="2853584F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06F9EE0" w14:textId="4F704022"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A86196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14:paraId="3990D741" w14:textId="4F5D0632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24</w:t>
      </w:r>
      <w:r w:rsidRPr="00A906E4">
        <w:rPr>
          <w:rFonts w:cstheme="minorHAnsi"/>
          <w:sz w:val="24"/>
          <w:szCs w:val="24"/>
        </w:rPr>
        <w:t>. godinu.</w:t>
      </w:r>
    </w:p>
    <w:p w14:paraId="1C686755" w14:textId="17F01E99"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A86196">
        <w:rPr>
          <w:rFonts w:cstheme="minorHAnsi"/>
          <w:b/>
          <w:sz w:val="24"/>
          <w:szCs w:val="24"/>
        </w:rPr>
        <w:t>2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14:paraId="6C50EC23" w14:textId="77777777"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14:paraId="777FE6C2" w14:textId="77777777"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14:paraId="00C49DFC" w14:textId="35E18D1F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A86196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06817D18" w14:textId="1264B636" w:rsidR="001F2AF5" w:rsidRPr="00A906E4" w:rsidRDefault="00597669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1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14:paraId="5521DAFB" w14:textId="4BA7465E" w:rsidR="00342EAE" w:rsidRPr="00246932" w:rsidRDefault="00597669" w:rsidP="0083348A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246932">
        <w:rPr>
          <w:rFonts w:cstheme="minorHAnsi"/>
          <w:color w:val="0070C0"/>
          <w:sz w:val="24"/>
          <w:szCs w:val="24"/>
        </w:rPr>
        <w:t>2</w:t>
      </w:r>
      <w:r w:rsidR="002D4EEE" w:rsidRPr="00246932">
        <w:rPr>
          <w:rFonts w:cstheme="minorHAnsi"/>
          <w:color w:val="0070C0"/>
          <w:sz w:val="24"/>
          <w:szCs w:val="24"/>
        </w:rPr>
        <w:t xml:space="preserve">. </w:t>
      </w:r>
      <w:r w:rsidR="00246932" w:rsidRPr="00246932">
        <w:rPr>
          <w:rFonts w:cstheme="minorHAnsi"/>
          <w:color w:val="0070C0"/>
          <w:sz w:val="24"/>
          <w:szCs w:val="24"/>
        </w:rPr>
        <w:t>Projekti financiranja redovnog rada Udruga iz Domovinskog rata  kojima  nedostaju sredstva za uspješnu realizaciju programa rada za 2024. godinu</w:t>
      </w:r>
      <w:r w:rsidR="00246932">
        <w:rPr>
          <w:rFonts w:cstheme="minorHAnsi"/>
          <w:color w:val="0070C0"/>
          <w:sz w:val="24"/>
          <w:szCs w:val="24"/>
        </w:rPr>
        <w:t>.</w:t>
      </w: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298F1E7E" w14:textId="77777777" w:rsidR="00C06C5F" w:rsidRPr="00C06C5F" w:rsidRDefault="00C06C5F" w:rsidP="00C06C5F">
      <w:pPr>
        <w:jc w:val="both"/>
        <w:rPr>
          <w:rFonts w:cstheme="minorHAnsi"/>
          <w:sz w:val="24"/>
          <w:szCs w:val="24"/>
          <w:lang w:val="pt-BR"/>
        </w:rPr>
      </w:pPr>
      <w:r w:rsidRPr="00C06C5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14:paraId="72918942" w14:textId="545BBF41" w:rsidR="00C06C5F" w:rsidRPr="00C06C5F" w:rsidRDefault="00C06C5F" w:rsidP="00C06C5F">
      <w:pPr>
        <w:jc w:val="both"/>
        <w:rPr>
          <w:rFonts w:cstheme="minorHAnsi"/>
          <w:sz w:val="24"/>
          <w:szCs w:val="24"/>
          <w:lang w:val="pt-BR"/>
        </w:rPr>
      </w:pPr>
      <w:r w:rsidRPr="00C06C5F">
        <w:rPr>
          <w:rFonts w:cstheme="minorHAnsi"/>
          <w:sz w:val="24"/>
          <w:szCs w:val="24"/>
          <w:lang w:val="pt-BR"/>
        </w:rPr>
        <w:t>-</w:t>
      </w:r>
      <w:r w:rsidRPr="00C06C5F">
        <w:rPr>
          <w:rFonts w:cstheme="minorHAnsi"/>
          <w:sz w:val="24"/>
          <w:szCs w:val="24"/>
          <w:lang w:val="pt-BR"/>
        </w:rPr>
        <w:tab/>
      </w:r>
      <w:r w:rsidR="00D129F7">
        <w:rPr>
          <w:rFonts w:cstheme="minorHAnsi"/>
          <w:sz w:val="24"/>
          <w:szCs w:val="24"/>
          <w:lang w:val="pt-BR"/>
        </w:rPr>
        <w:t>u</w:t>
      </w:r>
      <w:r w:rsidRPr="00C06C5F">
        <w:rPr>
          <w:rFonts w:cstheme="minorHAnsi"/>
          <w:sz w:val="24"/>
          <w:szCs w:val="24"/>
          <w:lang w:val="pt-BR"/>
        </w:rPr>
        <w:t>druge proistekle iz Domovinskog rata  koje imaju  sjedište na području Grada Novske i koje aktivno djeluju na području Grada Novske  uz uvjet da iste ispunjavaju sve odredbe i uvjete  ovog  Javnog poziva;</w:t>
      </w:r>
    </w:p>
    <w:p w14:paraId="743BEBC0" w14:textId="49B9F86B" w:rsidR="00C06C5F" w:rsidRPr="00C06C5F" w:rsidRDefault="00C06C5F" w:rsidP="00C06C5F">
      <w:pPr>
        <w:jc w:val="both"/>
        <w:rPr>
          <w:rFonts w:cstheme="minorHAnsi"/>
          <w:sz w:val="24"/>
          <w:szCs w:val="24"/>
          <w:lang w:val="pt-BR"/>
        </w:rPr>
      </w:pPr>
      <w:r w:rsidRPr="00C06C5F">
        <w:rPr>
          <w:rFonts w:cstheme="minorHAnsi"/>
          <w:sz w:val="24"/>
          <w:szCs w:val="24"/>
          <w:lang w:val="pt-BR"/>
        </w:rPr>
        <w:t>-</w:t>
      </w:r>
      <w:r w:rsidRPr="00C06C5F">
        <w:rPr>
          <w:rFonts w:cstheme="minorHAnsi"/>
          <w:sz w:val="24"/>
          <w:szCs w:val="24"/>
          <w:lang w:val="pt-BR"/>
        </w:rPr>
        <w:tab/>
      </w:r>
      <w:r w:rsidR="00D129F7">
        <w:rPr>
          <w:rFonts w:cstheme="minorHAnsi"/>
          <w:sz w:val="24"/>
          <w:szCs w:val="24"/>
          <w:lang w:val="pt-BR"/>
        </w:rPr>
        <w:t>v</w:t>
      </w:r>
      <w:r w:rsidRPr="00C06C5F">
        <w:rPr>
          <w:rFonts w:cstheme="minorHAnsi"/>
          <w:sz w:val="24"/>
          <w:szCs w:val="24"/>
          <w:lang w:val="pt-BR"/>
        </w:rPr>
        <w:t>jerske zajednice koje imaju sjedište na području Grada Novske uz uvjet da iste ispunjavaju sve odredbe i uvjete ovog Javnog poziva.</w:t>
      </w:r>
    </w:p>
    <w:p w14:paraId="300D3EF7" w14:textId="77777777" w:rsidR="00C06C5F" w:rsidRDefault="00C06C5F" w:rsidP="00C06C5F">
      <w:pPr>
        <w:jc w:val="both"/>
        <w:rPr>
          <w:rFonts w:cstheme="minorHAnsi"/>
          <w:sz w:val="24"/>
          <w:szCs w:val="24"/>
          <w:lang w:val="pt-BR"/>
        </w:rPr>
      </w:pPr>
      <w:r w:rsidRPr="00C06C5F">
        <w:rPr>
          <w:rFonts w:cstheme="minorHAnsi"/>
          <w:sz w:val="24"/>
          <w:szCs w:val="24"/>
          <w:lang w:val="pt-BR"/>
        </w:rPr>
        <w:t>Prijavitelj u programu/projektu može imati i partnera/e koji mora/ju zadovoljiti sve uvjete koje mora zadovoljiti i prijavitelj.</w:t>
      </w:r>
    </w:p>
    <w:p w14:paraId="3F311EE3" w14:textId="77777777"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3B2779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</w:t>
      </w:r>
      <w:r w:rsidR="009045E6" w:rsidRPr="003B2779">
        <w:rPr>
          <w:rFonts w:asciiTheme="minorHAnsi" w:hAnsiTheme="minorHAnsi" w:cstheme="minorHAnsi"/>
          <w:sz w:val="24"/>
          <w:szCs w:val="24"/>
        </w:rPr>
        <w:t>zakonom;</w:t>
      </w:r>
    </w:p>
    <w:p w14:paraId="5779110A" w14:textId="467C7838" w:rsidR="009045E6" w:rsidRPr="003B2779" w:rsidRDefault="003B2779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B2779">
        <w:rPr>
          <w:rFonts w:asciiTheme="minorHAnsi" w:hAnsiTheme="minorHAnsi" w:cstheme="minorHAnsi"/>
          <w:sz w:val="24"/>
          <w:szCs w:val="24"/>
        </w:rPr>
        <w:t>na ovaj Javni poziv prijave  kvalitetne, inovativne i korisne projekte koji omogućuju razvoj civilnoga društva i zadovoljenje jedne od javnih potreba određenih ovim Javnim pozivom</w:t>
      </w:r>
      <w:r w:rsidR="009045E6" w:rsidRPr="003B2779">
        <w:rPr>
          <w:rFonts w:asciiTheme="minorHAnsi" w:hAnsiTheme="minorHAnsi" w:cstheme="minorHAnsi"/>
          <w:sz w:val="24"/>
          <w:szCs w:val="24"/>
        </w:rPr>
        <w:t>;</w:t>
      </w:r>
    </w:p>
    <w:p w14:paraId="5A8F9BFA" w14:textId="238797E1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0148AA">
        <w:rPr>
          <w:rFonts w:asciiTheme="minorHAnsi" w:hAnsiTheme="minorHAnsi" w:cstheme="minorHAnsi"/>
          <w:sz w:val="24"/>
          <w:szCs w:val="24"/>
        </w:rPr>
        <w:t>2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0148AA">
        <w:rPr>
          <w:rFonts w:asciiTheme="minorHAnsi" w:hAnsiTheme="minorHAnsi" w:cstheme="minorHAnsi"/>
          <w:sz w:val="24"/>
          <w:szCs w:val="24"/>
        </w:rPr>
        <w:t>3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63FA621" w14:textId="3F5C73FC" w:rsidR="009045E6" w:rsidRPr="003B2779" w:rsidRDefault="00BE4462" w:rsidP="003B2779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9045E6" w:rsidRPr="003B2779">
        <w:rPr>
          <w:rFonts w:cstheme="minorHAnsi"/>
          <w:sz w:val="24"/>
          <w:szCs w:val="24"/>
        </w:rPr>
        <w:t>.</w:t>
      </w:r>
    </w:p>
    <w:p w14:paraId="4D7DB94F" w14:textId="77777777" w:rsidR="003B2779" w:rsidRDefault="003B2779" w:rsidP="003B2779">
      <w:pPr>
        <w:pStyle w:val="Odlomakpopisa1"/>
        <w:contextualSpacing/>
        <w:jc w:val="both"/>
        <w:rPr>
          <w:rFonts w:cstheme="minorHAnsi"/>
          <w:sz w:val="24"/>
          <w:szCs w:val="24"/>
        </w:rPr>
      </w:pPr>
    </w:p>
    <w:p w14:paraId="4DD52D2F" w14:textId="77777777" w:rsidR="003B2779" w:rsidRDefault="003B2779" w:rsidP="003B2779">
      <w:pPr>
        <w:pStyle w:val="Odlomakpopisa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D3FA27E" w14:textId="77777777" w:rsidR="003B7F80" w:rsidRPr="003B2779" w:rsidRDefault="003B7F80" w:rsidP="003B2779">
      <w:pPr>
        <w:pStyle w:val="Odlomakpopisa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4C29B619" w14:textId="76183B40" w:rsidR="00C06C5F" w:rsidRDefault="00C06C5F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C06C5F">
        <w:rPr>
          <w:rFonts w:cstheme="minorHAnsi"/>
          <w:sz w:val="24"/>
          <w:szCs w:val="24"/>
        </w:rPr>
        <w:t xml:space="preserve">Grad neće financirati projekte: udruga/ drugih organizacija civilnog društva koje nisu registrirane za obavljanje djelatnosti udruga iz Domovinskog rata, projekte vjerskih  zajednica  izvan sjedišta Grada Novske, kao niti onih koji se ne odnose na  sufinanciranje </w:t>
      </w:r>
      <w:r w:rsidR="00123CA8" w:rsidRPr="00123CA8">
        <w:rPr>
          <w:rFonts w:cstheme="minorHAnsi"/>
          <w:sz w:val="24"/>
          <w:szCs w:val="24"/>
        </w:rPr>
        <w:t xml:space="preserve">obnove, sanacije, uređenja ili opremanja  sakralnih i drugih vjerskih objekata </w:t>
      </w:r>
      <w:r w:rsidRPr="00C06C5F">
        <w:rPr>
          <w:rFonts w:cstheme="minorHAnsi"/>
          <w:sz w:val="24"/>
          <w:szCs w:val="24"/>
        </w:rPr>
        <w:t>te projekte/programe udruga i vjerskih zajednica koje ne udovoljavaju svim  uvjetima ovog Javnog poziva</w:t>
      </w:r>
      <w:r>
        <w:rPr>
          <w:rFonts w:cstheme="minorHAnsi"/>
          <w:sz w:val="24"/>
          <w:szCs w:val="24"/>
        </w:rPr>
        <w:t>.</w:t>
      </w:r>
    </w:p>
    <w:p w14:paraId="3979240A" w14:textId="0C566905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0148AA">
        <w:rPr>
          <w:rFonts w:cstheme="minorHAnsi"/>
          <w:sz w:val="24"/>
          <w:szCs w:val="24"/>
        </w:rPr>
        <w:t>3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77777777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4CF45614" w14:textId="77777777" w:rsidR="00A86196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</w:t>
      </w:r>
      <w:r w:rsidR="00A86196" w:rsidRPr="00A86196">
        <w:rPr>
          <w:rFonts w:cstheme="minorHAnsi"/>
          <w:sz w:val="24"/>
          <w:szCs w:val="24"/>
        </w:rPr>
        <w:t>Prihvatljiva aktivnost može se odvijati i izvan Grada Novske ukoliko se radi o sudjelovanju na natjecanjima, smotrama i gostovanjima  ili  o obilježavanju važnih događaja, obljetnica i komemoracija vezanih uz Domovinski rat  kojima se  promiču vrijednosti  i istina o Domovinskom ratu.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7E7C0592" w:rsidR="009948C8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0148AA">
        <w:rPr>
          <w:rFonts w:eastAsia="Times New Roman" w:cstheme="minorHAnsi"/>
          <w:sz w:val="24"/>
          <w:szCs w:val="24"/>
          <w:lang w:eastAsia="hr-HR"/>
        </w:rPr>
        <w:t>4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14:paraId="286FD13F" w14:textId="77777777" w:rsidR="00C06C5F" w:rsidRPr="00A906E4" w:rsidRDefault="00C06C5F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714125A" w14:textId="3EF0BDFE" w:rsidR="009948C8" w:rsidRDefault="00C06C5F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06C5F">
        <w:rPr>
          <w:rFonts w:eastAsia="Times New Roman" w:cstheme="minorHAnsi"/>
          <w:sz w:val="24"/>
          <w:szCs w:val="24"/>
          <w:lang w:eastAsia="hr-HR"/>
        </w:rPr>
        <w:t xml:space="preserve">Iznimno,  </w:t>
      </w:r>
      <w:r w:rsidR="00D129F7">
        <w:rPr>
          <w:rFonts w:eastAsia="Times New Roman" w:cstheme="minorHAnsi"/>
          <w:sz w:val="24"/>
          <w:szCs w:val="24"/>
          <w:lang w:eastAsia="hr-HR"/>
        </w:rPr>
        <w:t>u</w:t>
      </w:r>
      <w:r w:rsidRPr="00C06C5F">
        <w:rPr>
          <w:rFonts w:eastAsia="Times New Roman" w:cstheme="minorHAnsi"/>
          <w:sz w:val="24"/>
          <w:szCs w:val="24"/>
          <w:lang w:eastAsia="hr-HR"/>
        </w:rPr>
        <w:t xml:space="preserve">drugama iz Domovinskog rata  koje provode redovne  godišnje  programe  rada i vjerskim zajednicama u slučaju nastavka projekta </w:t>
      </w:r>
      <w:r w:rsidR="00414ED7" w:rsidRPr="00414ED7">
        <w:rPr>
          <w:rFonts w:eastAsia="Times New Roman" w:cstheme="minorHAnsi"/>
          <w:sz w:val="24"/>
          <w:szCs w:val="24"/>
          <w:lang w:eastAsia="hr-HR"/>
        </w:rPr>
        <w:t xml:space="preserve">obnove, sanacije, uređenja ili opremanja  sakralnih i drugih vjerskih objekata </w:t>
      </w:r>
      <w:r w:rsidRPr="00C06C5F">
        <w:rPr>
          <w:rFonts w:eastAsia="Times New Roman" w:cstheme="minorHAnsi"/>
          <w:sz w:val="24"/>
          <w:szCs w:val="24"/>
          <w:lang w:eastAsia="hr-HR"/>
        </w:rPr>
        <w:t>kao opravdane aktivnosti priznat će se i one  aktivnosti koje su  provedene  prije potpisivanja Ugovora ako iste proizlaze iz nastavka provedbe programa redovnog godišnjeg rada, odnosno ako se te aktivnosti odnose na projekt obnove, sanacije</w:t>
      </w:r>
      <w:r w:rsidR="00E67C9E">
        <w:rPr>
          <w:rFonts w:eastAsia="Times New Roman" w:cstheme="minorHAnsi"/>
          <w:sz w:val="24"/>
          <w:szCs w:val="24"/>
          <w:lang w:eastAsia="hr-HR"/>
        </w:rPr>
        <w:t>, uređenja</w:t>
      </w:r>
      <w:r w:rsidRPr="00C06C5F">
        <w:rPr>
          <w:rFonts w:eastAsia="Times New Roman" w:cstheme="minorHAnsi"/>
          <w:sz w:val="24"/>
          <w:szCs w:val="24"/>
          <w:lang w:eastAsia="hr-HR"/>
        </w:rPr>
        <w:t xml:space="preserve"> ili opremanja sakralnog objekta</w:t>
      </w:r>
      <w:r w:rsidR="00E67C9E">
        <w:rPr>
          <w:rFonts w:eastAsia="Times New Roman" w:cstheme="minorHAnsi"/>
          <w:sz w:val="24"/>
          <w:szCs w:val="24"/>
          <w:lang w:eastAsia="hr-HR"/>
        </w:rPr>
        <w:t xml:space="preserve"> i drugog vjerskog objekta</w:t>
      </w:r>
      <w:r w:rsidRPr="00C06C5F">
        <w:rPr>
          <w:rFonts w:eastAsia="Times New Roman" w:cstheme="minorHAnsi"/>
          <w:sz w:val="24"/>
          <w:szCs w:val="24"/>
          <w:lang w:eastAsia="hr-HR"/>
        </w:rPr>
        <w:t xml:space="preserve"> te ako su iste  bile nužne za provedbu godišnjeg programa, ako  budu  obuhvaćene  proračunom programa/projekta i odobrene za financiranje.</w:t>
      </w:r>
    </w:p>
    <w:p w14:paraId="36C97EB4" w14:textId="77777777" w:rsidR="00C06C5F" w:rsidRPr="00A906E4" w:rsidRDefault="00C06C5F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7079D819" w14:textId="4845C0CE" w:rsidR="00C06C5F" w:rsidRPr="00221A7F" w:rsidRDefault="00C06C5F" w:rsidP="00C06C5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</w:t>
      </w:r>
      <w:r>
        <w:rPr>
          <w:rFonts w:eastAsia="Times New Roman" w:cstheme="minorHAnsi"/>
          <w:sz w:val="24"/>
          <w:szCs w:val="24"/>
          <w:lang w:eastAsia="hr-HR"/>
        </w:rPr>
        <w:t>orom ili su nastali tijekom 2024</w:t>
      </w:r>
      <w:r w:rsidRPr="00221A7F">
        <w:rPr>
          <w:rFonts w:eastAsia="Times New Roman" w:cstheme="minorHAnsi"/>
          <w:sz w:val="24"/>
          <w:szCs w:val="24"/>
          <w:lang w:eastAsia="hr-HR"/>
        </w:rPr>
        <w:t>. godine, a   vezani su za realizaciju godišnjeg plana i programa rada udruge</w:t>
      </w:r>
      <w:r>
        <w:rPr>
          <w:rFonts w:eastAsia="Times New Roman" w:cstheme="minorHAnsi"/>
          <w:sz w:val="24"/>
          <w:szCs w:val="24"/>
          <w:lang w:eastAsia="hr-HR"/>
        </w:rPr>
        <w:t xml:space="preserve"> za 2024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. godinu ili su vezani za </w:t>
      </w:r>
      <w:r w:rsidR="00216C05">
        <w:rPr>
          <w:rFonts w:eastAsia="Times New Roman" w:cstheme="minorHAnsi"/>
          <w:sz w:val="24"/>
          <w:szCs w:val="24"/>
          <w:lang w:eastAsia="hr-HR"/>
        </w:rPr>
        <w:t xml:space="preserve">obnovu, </w:t>
      </w:r>
      <w:r w:rsidRPr="00221A7F">
        <w:rPr>
          <w:rFonts w:eastAsia="Times New Roman" w:cstheme="minorHAnsi"/>
          <w:sz w:val="24"/>
          <w:szCs w:val="24"/>
          <w:lang w:eastAsia="hr-HR"/>
        </w:rPr>
        <w:t>sanacij</w:t>
      </w:r>
      <w:r w:rsidR="00216C05">
        <w:rPr>
          <w:rFonts w:eastAsia="Times New Roman" w:cstheme="minorHAnsi"/>
          <w:sz w:val="24"/>
          <w:szCs w:val="24"/>
          <w:lang w:eastAsia="hr-HR"/>
        </w:rPr>
        <w:t>u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216C05">
        <w:rPr>
          <w:rFonts w:eastAsia="Times New Roman" w:cstheme="minorHAnsi"/>
          <w:sz w:val="24"/>
          <w:szCs w:val="24"/>
          <w:lang w:eastAsia="hr-HR"/>
        </w:rPr>
        <w:t>uređenje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ili opremanj</w:t>
      </w:r>
      <w:r w:rsidR="00216C05">
        <w:rPr>
          <w:rFonts w:eastAsia="Times New Roman" w:cstheme="minorHAnsi"/>
          <w:sz w:val="24"/>
          <w:szCs w:val="24"/>
          <w:lang w:eastAsia="hr-HR"/>
        </w:rPr>
        <w:t>e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16C05">
        <w:rPr>
          <w:rFonts w:eastAsia="Times New Roman" w:cstheme="minorHAnsi"/>
          <w:sz w:val="24"/>
          <w:szCs w:val="24"/>
          <w:lang w:eastAsia="hr-HR"/>
        </w:rPr>
        <w:t xml:space="preserve">sakralnih i drugih </w:t>
      </w:r>
      <w:r w:rsidRPr="00221A7F">
        <w:rPr>
          <w:rFonts w:eastAsia="Times New Roman" w:cstheme="minorHAnsi"/>
          <w:sz w:val="24"/>
          <w:szCs w:val="24"/>
          <w:lang w:eastAsia="hr-HR"/>
        </w:rPr>
        <w:t>vjerskih objekata</w:t>
      </w:r>
      <w:r w:rsidR="00216C05">
        <w:rPr>
          <w:rFonts w:eastAsia="Times New Roman" w:cstheme="minorHAnsi"/>
          <w:sz w:val="24"/>
          <w:szCs w:val="24"/>
          <w:lang w:eastAsia="hr-HR"/>
        </w:rPr>
        <w:t>,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 ukoliko nisu već pokriveni sredstvima iz drugih izvora financiranja.</w:t>
      </w:r>
    </w:p>
    <w:p w14:paraId="0D6417F8" w14:textId="77777777" w:rsidR="00C06C5F" w:rsidRPr="00221A7F" w:rsidRDefault="00C06C5F" w:rsidP="00C06C5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moraju biti navedeni u ukupnom predviđenom proračunu programa/projekta;</w:t>
      </w:r>
    </w:p>
    <w:p w14:paraId="53F83353" w14:textId="77777777" w:rsidR="00C06C5F" w:rsidRPr="00221A7F" w:rsidRDefault="00C06C5F" w:rsidP="00C06C5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73D5D3C3" w14:textId="77777777" w:rsidR="00C06C5F" w:rsidRPr="00221A7F" w:rsidRDefault="00C06C5F" w:rsidP="00C06C5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6D29CD28" w14:textId="77777777" w:rsidR="00C06C5F" w:rsidRPr="00221A7F" w:rsidRDefault="00C06C5F" w:rsidP="00C06C5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ako su  umjereni, opravdani, učinkoviti i u svakom smislu usuglašeni sa zahtjevima racionalnog financijskog upravljanja.</w:t>
      </w:r>
    </w:p>
    <w:p w14:paraId="75E86BBB" w14:textId="77777777" w:rsidR="00C06C5F" w:rsidRPr="00A906E4" w:rsidRDefault="00C06C5F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A09DE18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troškovi:</w:t>
      </w:r>
    </w:p>
    <w:p w14:paraId="74B52CF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90D8D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</w:t>
      </w:r>
      <w:r w:rsidR="00D129F7">
        <w:rPr>
          <w:rFonts w:eastAsia="Times New Roman" w:cstheme="minorHAnsi"/>
          <w:sz w:val="24"/>
          <w:szCs w:val="24"/>
          <w:lang w:eastAsia="hr-HR"/>
        </w:rPr>
        <w:t>/radova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77777777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56F49F3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77777777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natječaja/poziva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Obrazac izjave o nepostojanju dvostrukog financiranja;</w:t>
      </w:r>
    </w:p>
    <w:p w14:paraId="583C4B60" w14:textId="3676AE9F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148A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148AA" w:rsidRPr="00D75A7F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0E2DED13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B876D1">
        <w:rPr>
          <w:rFonts w:eastAsia="Times New Roman" w:cstheme="minorHAnsi"/>
          <w:snapToGrid w:val="0"/>
          <w:sz w:val="24"/>
          <w:szCs w:val="24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B46ED49" w14:textId="5CF662F2" w:rsidR="00AD18EC" w:rsidRPr="00221A7F" w:rsidRDefault="00AD18EC" w:rsidP="00AD18EC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 xml:space="preserve">Obvezna natječajna dokumentacija za prijavu projekata </w:t>
      </w:r>
      <w:r>
        <w:rPr>
          <w:rFonts w:eastAsia="Times New Roman" w:cstheme="minorHAnsi"/>
          <w:b/>
          <w:snapToGrid w:val="0"/>
          <w:sz w:val="24"/>
          <w:szCs w:val="24"/>
        </w:rPr>
        <w:t xml:space="preserve">za obnovu i uređenje sakralnih objekata </w:t>
      </w:r>
      <w:r w:rsidRPr="00221A7F">
        <w:rPr>
          <w:rFonts w:eastAsia="Times New Roman" w:cstheme="minorHAnsi"/>
          <w:b/>
          <w:snapToGrid w:val="0"/>
          <w:sz w:val="24"/>
          <w:szCs w:val="24"/>
        </w:rPr>
        <w:t>je:</w:t>
      </w:r>
    </w:p>
    <w:p w14:paraId="0B09DD38" w14:textId="77777777" w:rsidR="00AD18EC" w:rsidRPr="00221A7F" w:rsidRDefault="00AD18EC" w:rsidP="00AD18EC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785CB4" w14:textId="2B599EBE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</w:t>
      </w:r>
      <w:r>
        <w:rPr>
          <w:rFonts w:eastAsia="Times New Roman" w:cstheme="minorHAnsi"/>
          <w:snapToGrid w:val="0"/>
          <w:sz w:val="24"/>
          <w:szCs w:val="24"/>
        </w:rPr>
        <w:t xml:space="preserve"> (Obrazac 3)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14:paraId="68891112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6D60DBC5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37DBF48D" w14:textId="2BFB3488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F75CF3">
        <w:rPr>
          <w:rFonts w:eastAsia="Times New Roman" w:cstheme="minorHAnsi"/>
          <w:snapToGrid w:val="0"/>
          <w:sz w:val="24"/>
          <w:szCs w:val="24"/>
        </w:rPr>
        <w:t xml:space="preserve"> odnosno odgovarajuću Evidenciju vjerskih zajednica u Republici Hrvatskoj</w:t>
      </w:r>
      <w:r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F75CF3">
        <w:rPr>
          <w:rFonts w:eastAsia="Times New Roman" w:cstheme="minorHAnsi"/>
          <w:snapToGrid w:val="0"/>
          <w:sz w:val="24"/>
          <w:szCs w:val="24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(isprintani izvadak iz registra);</w:t>
      </w:r>
    </w:p>
    <w:p w14:paraId="0C4192ED" w14:textId="77777777" w:rsidR="00AD18EC" w:rsidRPr="00221A7F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76C54800" w14:textId="77777777" w:rsidR="00344D91" w:rsidRPr="00344D91" w:rsidRDefault="00AD18EC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</w:t>
      </w:r>
      <w:r w:rsidR="00C23FA6" w:rsidRPr="00A906E4">
        <w:rPr>
          <w:rFonts w:eastAsia="Times New Roman" w:cstheme="minorHAnsi"/>
          <w:snapToGrid w:val="0"/>
          <w:sz w:val="24"/>
          <w:szCs w:val="24"/>
        </w:rPr>
        <w:t>, ne stariji od 6 mjeseci</w:t>
      </w:r>
      <w:r w:rsidR="00344D91">
        <w:rPr>
          <w:rFonts w:eastAsia="Times New Roman" w:cstheme="minorHAnsi"/>
          <w:snapToGrid w:val="0"/>
          <w:sz w:val="24"/>
          <w:szCs w:val="24"/>
        </w:rPr>
        <w:t>,</w:t>
      </w:r>
    </w:p>
    <w:p w14:paraId="4AAE4F6F" w14:textId="5B2EA950" w:rsidR="00AD18EC" w:rsidRPr="002020DB" w:rsidRDefault="00344D91" w:rsidP="00AD18EC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>Troškovnik radova (ukoliko je primjenjivo)</w:t>
      </w:r>
      <w:r w:rsidR="00AD18EC" w:rsidRPr="002020DB">
        <w:rPr>
          <w:rFonts w:cstheme="minorHAnsi"/>
          <w:sz w:val="24"/>
          <w:szCs w:val="24"/>
        </w:rPr>
        <w:t>.</w:t>
      </w: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3BA9853C" w14:textId="77777777" w:rsidR="00FF4DDA" w:rsidRDefault="00FF4DDA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6AFAFEDE" w14:textId="77777777"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37BE3E91"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Javni poziv </w:t>
      </w:r>
      <w:r w:rsidR="0052763F" w:rsidRPr="00C80953">
        <w:rPr>
          <w:rFonts w:cstheme="minorHAnsi"/>
          <w:sz w:val="24"/>
          <w:szCs w:val="24"/>
        </w:rPr>
        <w:t>objavljen je dana</w:t>
      </w:r>
      <w:r w:rsidR="00063232" w:rsidRPr="00C80953">
        <w:rPr>
          <w:rFonts w:cstheme="minorHAnsi"/>
          <w:sz w:val="24"/>
          <w:szCs w:val="24"/>
        </w:rPr>
        <w:t xml:space="preserve"> </w:t>
      </w:r>
      <w:r w:rsidR="00C06C5F" w:rsidRPr="00C80953">
        <w:rPr>
          <w:rFonts w:cstheme="minorHAnsi"/>
          <w:sz w:val="24"/>
          <w:szCs w:val="24"/>
        </w:rPr>
        <w:t>02</w:t>
      </w:r>
      <w:r w:rsidR="00BA33C8" w:rsidRPr="00C80953">
        <w:rPr>
          <w:rFonts w:cstheme="minorHAnsi"/>
          <w:sz w:val="24"/>
          <w:szCs w:val="24"/>
        </w:rPr>
        <w:t xml:space="preserve">. </w:t>
      </w:r>
      <w:r w:rsidR="00C06C5F" w:rsidRPr="00C80953">
        <w:rPr>
          <w:rFonts w:cstheme="minorHAnsi"/>
          <w:sz w:val="24"/>
          <w:szCs w:val="24"/>
        </w:rPr>
        <w:t>listopada</w:t>
      </w:r>
      <w:r w:rsidR="00BA33C8" w:rsidRPr="00C80953">
        <w:rPr>
          <w:rFonts w:cstheme="minorHAnsi"/>
          <w:sz w:val="24"/>
          <w:szCs w:val="24"/>
        </w:rPr>
        <w:t xml:space="preserve"> 20</w:t>
      </w:r>
      <w:r w:rsidR="00A52CDD" w:rsidRPr="00C80953">
        <w:rPr>
          <w:rFonts w:cstheme="minorHAnsi"/>
          <w:sz w:val="24"/>
          <w:szCs w:val="24"/>
        </w:rPr>
        <w:t>2</w:t>
      </w:r>
      <w:r w:rsidR="007A267F" w:rsidRPr="00C80953">
        <w:rPr>
          <w:rFonts w:cstheme="minorHAnsi"/>
          <w:sz w:val="24"/>
          <w:szCs w:val="24"/>
        </w:rPr>
        <w:t>4</w:t>
      </w:r>
      <w:r w:rsidR="00BA33C8" w:rsidRPr="00C80953">
        <w:rPr>
          <w:rFonts w:cstheme="minorHAnsi"/>
          <w:sz w:val="24"/>
          <w:szCs w:val="24"/>
        </w:rPr>
        <w:t xml:space="preserve">. godine </w:t>
      </w:r>
      <w:r w:rsidRPr="00C80953">
        <w:rPr>
          <w:rFonts w:cstheme="minorHAnsi"/>
          <w:sz w:val="24"/>
          <w:szCs w:val="24"/>
        </w:rPr>
        <w:t xml:space="preserve">na mrežnim stranicama Grada Novske </w:t>
      </w:r>
      <w:r w:rsidRPr="00A906E4">
        <w:rPr>
          <w:rFonts w:cstheme="minorHAnsi"/>
          <w:sz w:val="24"/>
          <w:szCs w:val="24"/>
        </w:rPr>
        <w:t xml:space="preserve">- </w:t>
      </w:r>
      <w:hyperlink r:id="rId1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41B70BFB" w:rsidR="000F2263" w:rsidRPr="00C8095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C80953">
        <w:rPr>
          <w:rFonts w:cstheme="minorHAnsi"/>
          <w:sz w:val="24"/>
          <w:szCs w:val="24"/>
          <w:u w:val="single"/>
        </w:rPr>
        <w:t>preporučene pošiljke</w:t>
      </w:r>
      <w:r w:rsidRPr="00C80953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C06C5F" w:rsidRPr="00C80953">
        <w:rPr>
          <w:rFonts w:cstheme="minorHAnsi"/>
          <w:sz w:val="24"/>
          <w:szCs w:val="24"/>
        </w:rPr>
        <w:t>04</w:t>
      </w:r>
      <w:r w:rsidR="00BA33C8" w:rsidRPr="00C80953">
        <w:rPr>
          <w:rFonts w:cstheme="minorHAnsi"/>
          <w:sz w:val="24"/>
          <w:szCs w:val="24"/>
        </w:rPr>
        <w:t xml:space="preserve">. </w:t>
      </w:r>
      <w:r w:rsidR="00C06C5F" w:rsidRPr="00C80953">
        <w:rPr>
          <w:rFonts w:cstheme="minorHAnsi"/>
          <w:sz w:val="24"/>
          <w:szCs w:val="24"/>
        </w:rPr>
        <w:t>studenoga</w:t>
      </w:r>
      <w:r w:rsidR="000F55CE" w:rsidRPr="00C80953">
        <w:rPr>
          <w:rFonts w:cstheme="minorHAnsi"/>
          <w:sz w:val="24"/>
          <w:szCs w:val="24"/>
        </w:rPr>
        <w:t xml:space="preserve"> 202</w:t>
      </w:r>
      <w:r w:rsidR="007A267F" w:rsidRPr="00C80953">
        <w:rPr>
          <w:rFonts w:cstheme="minorHAnsi"/>
          <w:sz w:val="24"/>
          <w:szCs w:val="24"/>
        </w:rPr>
        <w:t>4</w:t>
      </w:r>
      <w:r w:rsidRPr="00C80953">
        <w:rPr>
          <w:rFonts w:cstheme="minorHAnsi"/>
          <w:sz w:val="24"/>
          <w:szCs w:val="24"/>
        </w:rPr>
        <w:t>. godine.</w:t>
      </w:r>
    </w:p>
    <w:p w14:paraId="0E62E600" w14:textId="66A1BE20" w:rsidR="000F2263" w:rsidRPr="00C8095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C80953">
        <w:rPr>
          <w:rFonts w:cstheme="minorHAnsi"/>
          <w:sz w:val="24"/>
          <w:szCs w:val="24"/>
        </w:rPr>
        <w:t xml:space="preserve">do </w:t>
      </w:r>
      <w:r w:rsidR="00C06C5F" w:rsidRPr="00C80953">
        <w:rPr>
          <w:rFonts w:cstheme="minorHAnsi"/>
          <w:sz w:val="24"/>
          <w:szCs w:val="24"/>
        </w:rPr>
        <w:t>04</w:t>
      </w:r>
      <w:r w:rsidR="00BA33C8" w:rsidRPr="00C80953">
        <w:rPr>
          <w:rFonts w:cstheme="minorHAnsi"/>
          <w:sz w:val="24"/>
          <w:szCs w:val="24"/>
        </w:rPr>
        <w:t xml:space="preserve">. </w:t>
      </w:r>
      <w:r w:rsidR="00C06C5F" w:rsidRPr="00C80953">
        <w:rPr>
          <w:rFonts w:cstheme="minorHAnsi"/>
          <w:sz w:val="24"/>
          <w:szCs w:val="24"/>
        </w:rPr>
        <w:t>studenoga</w:t>
      </w:r>
      <w:r w:rsidR="000F55CE" w:rsidRPr="00C80953">
        <w:rPr>
          <w:rFonts w:cstheme="minorHAnsi"/>
          <w:sz w:val="24"/>
          <w:szCs w:val="24"/>
        </w:rPr>
        <w:t xml:space="preserve"> 202</w:t>
      </w:r>
      <w:r w:rsidR="007A267F" w:rsidRPr="00C80953">
        <w:rPr>
          <w:rFonts w:cstheme="minorHAnsi"/>
          <w:sz w:val="24"/>
          <w:szCs w:val="24"/>
        </w:rPr>
        <w:t>4</w:t>
      </w:r>
      <w:r w:rsidRPr="00C80953">
        <w:rPr>
          <w:rFonts w:cstheme="minorHAnsi"/>
          <w:sz w:val="24"/>
          <w:szCs w:val="24"/>
        </w:rPr>
        <w:t>.g.,do 15</w:t>
      </w:r>
      <w:r w:rsidR="00710E2C" w:rsidRPr="00C80953">
        <w:rPr>
          <w:rFonts w:cstheme="minorHAnsi"/>
          <w:sz w:val="24"/>
          <w:szCs w:val="24"/>
        </w:rPr>
        <w:t>,</w:t>
      </w:r>
      <w:r w:rsidRPr="00C80953">
        <w:rPr>
          <w:rFonts w:cstheme="minorHAnsi"/>
          <w:sz w:val="24"/>
          <w:szCs w:val="24"/>
        </w:rPr>
        <w:t xml:space="preserve">00 sati. </w:t>
      </w:r>
    </w:p>
    <w:p w14:paraId="031E49F2" w14:textId="1CD93400" w:rsidR="00A97275" w:rsidRPr="00C80953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Prijave dostavljene u elektroničkom obliku uzet će se u obzir kao pravodobne ako budu zaprimljene na email karolina.simicic@novska.hr najkasnije do </w:t>
      </w:r>
      <w:r w:rsidR="00C06C5F" w:rsidRPr="00C80953">
        <w:rPr>
          <w:rFonts w:cstheme="minorHAnsi"/>
          <w:sz w:val="24"/>
          <w:szCs w:val="24"/>
        </w:rPr>
        <w:t>04</w:t>
      </w:r>
      <w:r w:rsidRPr="00C80953">
        <w:rPr>
          <w:rFonts w:cstheme="minorHAnsi"/>
          <w:sz w:val="24"/>
          <w:szCs w:val="24"/>
        </w:rPr>
        <w:t xml:space="preserve">. </w:t>
      </w:r>
      <w:r w:rsidR="00C06C5F" w:rsidRPr="00C80953">
        <w:rPr>
          <w:rFonts w:cstheme="minorHAnsi"/>
          <w:sz w:val="24"/>
          <w:szCs w:val="24"/>
        </w:rPr>
        <w:t>studenoga</w:t>
      </w:r>
      <w:r w:rsidRPr="00C80953">
        <w:rPr>
          <w:rFonts w:cstheme="minorHAnsi"/>
          <w:sz w:val="24"/>
          <w:szCs w:val="24"/>
        </w:rPr>
        <w:t xml:space="preserve"> 202</w:t>
      </w:r>
      <w:r w:rsidR="007A267F" w:rsidRPr="00C80953">
        <w:rPr>
          <w:rFonts w:cstheme="minorHAnsi"/>
          <w:sz w:val="24"/>
          <w:szCs w:val="24"/>
        </w:rPr>
        <w:t>4</w:t>
      </w:r>
      <w:r w:rsidRPr="00C80953">
        <w:rPr>
          <w:rFonts w:cstheme="minorHAnsi"/>
          <w:sz w:val="24"/>
          <w:szCs w:val="24"/>
        </w:rPr>
        <w:t xml:space="preserve">.g.,do 15,00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6BB97B5B" w:rsidR="00A42C90" w:rsidRPr="00C80953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Naznaku  - </w:t>
      </w:r>
      <w:r w:rsidRPr="00C80953">
        <w:rPr>
          <w:rFonts w:cstheme="minorHAnsi"/>
          <w:b/>
          <w:sz w:val="24"/>
          <w:szCs w:val="24"/>
        </w:rPr>
        <w:t xml:space="preserve">„PRIJAVA  NA JAVNI POZIV </w:t>
      </w:r>
      <w:r w:rsidR="00C06C5F" w:rsidRPr="00C80953">
        <w:rPr>
          <w:rFonts w:cstheme="minorHAnsi"/>
          <w:b/>
          <w:sz w:val="24"/>
          <w:szCs w:val="24"/>
        </w:rPr>
        <w:t>VJERSKIM ZAJEDNICAMA ZA PREDLAGANJE PROJEKATA UREĐENJA I OPREMANJA SAKRALNIH I DRUGIH VJERSKIH OBJEKATA NA PODRUČJU GRADA NOVSKE TE DODJELU SREDSTAVA ZA DODATNO FINACIRANJE UDRUGA IZ DOMOVINSKOG RATA</w:t>
      </w:r>
      <w:r w:rsidRPr="00C80953">
        <w:rPr>
          <w:rFonts w:cstheme="minorHAnsi"/>
          <w:b/>
          <w:sz w:val="24"/>
          <w:szCs w:val="24"/>
        </w:rPr>
        <w:t>– NE OTVARATI!“ na sljedeću adresu:</w:t>
      </w:r>
      <w:r w:rsidR="00DC4F42" w:rsidRPr="00C80953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639AAEBF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</w:t>
      </w:r>
      <w:r w:rsidR="00CF6F50">
        <w:rPr>
          <w:rFonts w:cstheme="minorHAnsi"/>
          <w:b/>
          <w:sz w:val="24"/>
          <w:szCs w:val="24"/>
        </w:rPr>
        <w:t>O</w:t>
      </w:r>
      <w:r w:rsidR="00F80DC2">
        <w:rPr>
          <w:rFonts w:cstheme="minorHAnsi"/>
          <w:b/>
          <w:sz w:val="24"/>
          <w:szCs w:val="24"/>
        </w:rPr>
        <w:t>bnova</w:t>
      </w:r>
      <w:r w:rsidR="004F603B">
        <w:rPr>
          <w:rFonts w:cstheme="minorHAnsi"/>
          <w:b/>
          <w:sz w:val="24"/>
          <w:szCs w:val="24"/>
        </w:rPr>
        <w:t xml:space="preserve"> i uređenje</w:t>
      </w:r>
      <w:r w:rsidR="00F80DC2">
        <w:rPr>
          <w:rFonts w:cstheme="minorHAnsi"/>
          <w:b/>
          <w:sz w:val="24"/>
          <w:szCs w:val="24"/>
        </w:rPr>
        <w:t xml:space="preserve"> sakralnih objekata</w:t>
      </w:r>
      <w:r w:rsidRPr="00A906E4">
        <w:rPr>
          <w:rFonts w:cstheme="minorHAnsi"/>
          <w:b/>
          <w:sz w:val="24"/>
          <w:szCs w:val="24"/>
        </w:rPr>
        <w:t xml:space="preserve">, </w:t>
      </w:r>
      <w:r w:rsidR="00F0387C">
        <w:rPr>
          <w:rFonts w:cstheme="minorHAnsi"/>
          <w:b/>
          <w:sz w:val="24"/>
          <w:szCs w:val="24"/>
        </w:rPr>
        <w:t>Udruge iz Domovinskog rata</w:t>
      </w:r>
      <w:r w:rsidR="00C80953">
        <w:rPr>
          <w:rFonts w:cstheme="minorHAnsi"/>
          <w:b/>
          <w:sz w:val="24"/>
          <w:szCs w:val="24"/>
        </w:rPr>
        <w:t>)</w:t>
      </w:r>
      <w:r w:rsidR="00A97275" w:rsidRPr="00C80953">
        <w:rPr>
          <w:rFonts w:cs="Calibri"/>
          <w:b/>
          <w:sz w:val="24"/>
          <w:szCs w:val="24"/>
        </w:rPr>
        <w:t>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C80953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80953">
        <w:rPr>
          <w:rFonts w:cstheme="minorHAnsi"/>
          <w:b/>
          <w:sz w:val="24"/>
          <w:szCs w:val="24"/>
        </w:rPr>
        <w:lastRenderedPageBreak/>
        <w:t>ILI</w:t>
      </w:r>
    </w:p>
    <w:p w14:paraId="25A770C5" w14:textId="77777777" w:rsidR="00A97275" w:rsidRPr="00C80953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C80953">
        <w:rPr>
          <w:rFonts w:cstheme="minorHAnsi"/>
          <w:b/>
          <w:sz w:val="24"/>
          <w:szCs w:val="24"/>
          <w:u w:val="single"/>
        </w:rPr>
        <w:t xml:space="preserve">b) u elektroničkom obliku na e-mail </w:t>
      </w:r>
      <w:hyperlink r:id="rId13" w:history="1">
        <w:r w:rsidRPr="00C80953">
          <w:rPr>
            <w:rStyle w:val="Hiperveza"/>
            <w:rFonts w:cstheme="minorHAnsi"/>
            <w:b/>
            <w:color w:val="auto"/>
            <w:sz w:val="24"/>
            <w:szCs w:val="24"/>
          </w:rPr>
          <w:t>karolina.simicic@novska.hr</w:t>
        </w:r>
      </w:hyperlink>
      <w:r w:rsidRPr="00C80953"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C80953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Naziv i adresu prijavitelja i </w:t>
      </w:r>
    </w:p>
    <w:p w14:paraId="7FD370B2" w14:textId="2AE1AF67" w:rsidR="00A97275" w:rsidRPr="00C80953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80953">
        <w:rPr>
          <w:rFonts w:cstheme="minorHAnsi"/>
          <w:sz w:val="24"/>
          <w:szCs w:val="24"/>
        </w:rPr>
        <w:t xml:space="preserve">Naznaku  - </w:t>
      </w:r>
      <w:r w:rsidRPr="00C80953">
        <w:rPr>
          <w:rFonts w:cstheme="minorHAnsi"/>
          <w:b/>
          <w:sz w:val="24"/>
          <w:szCs w:val="24"/>
        </w:rPr>
        <w:t>„</w:t>
      </w:r>
      <w:r w:rsidR="00C06C5F" w:rsidRPr="00C80953">
        <w:rPr>
          <w:rFonts w:cstheme="minorHAnsi"/>
          <w:b/>
          <w:sz w:val="24"/>
          <w:szCs w:val="24"/>
        </w:rPr>
        <w:t>PRIJAVA  NA JAVNI POZIV VJERSKIM ZAJEDNICAMA ZA PREDLAGANJE PROJEKATA UREĐENJA I OPREMANJA SAKRALNIH I DRUGIH VJERSKIH OBJEKATA NA PODRUČJU GRADA NOVSKE TE DODJELU SREDSTAVA ZA DODATNO FINACIRANJE UDRUGA IZ DOMOVINSKOG RATA– NE OTVARATI!“</w:t>
      </w:r>
      <w:r w:rsidRPr="00C80953">
        <w:rPr>
          <w:rFonts w:cstheme="minorHAnsi"/>
          <w:b/>
          <w:sz w:val="24"/>
          <w:szCs w:val="24"/>
        </w:rPr>
        <w:t>,</w:t>
      </w:r>
    </w:p>
    <w:p w14:paraId="6D974855" w14:textId="63902349" w:rsidR="00A97275" w:rsidRPr="00C80953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C80953">
        <w:rPr>
          <w:rFonts w:cstheme="minorHAnsi"/>
          <w:b/>
          <w:sz w:val="24"/>
          <w:szCs w:val="24"/>
        </w:rPr>
        <w:t xml:space="preserve">Ispod teksta iz prethodne točke treba </w:t>
      </w:r>
      <w:r w:rsidRPr="00C80953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C80953">
        <w:rPr>
          <w:rFonts w:cstheme="minorHAnsi"/>
          <w:b/>
          <w:sz w:val="24"/>
          <w:szCs w:val="24"/>
        </w:rPr>
        <w:t xml:space="preserve"> (npr. </w:t>
      </w:r>
      <w:r w:rsidR="00CF6F50" w:rsidRPr="00C80953">
        <w:rPr>
          <w:rFonts w:cstheme="minorHAnsi"/>
          <w:b/>
          <w:sz w:val="24"/>
          <w:szCs w:val="24"/>
        </w:rPr>
        <w:t>Obnova</w:t>
      </w:r>
      <w:r w:rsidR="005166D7" w:rsidRPr="00C80953">
        <w:rPr>
          <w:rFonts w:cstheme="minorHAnsi"/>
          <w:b/>
          <w:sz w:val="24"/>
          <w:szCs w:val="24"/>
        </w:rPr>
        <w:t xml:space="preserve"> i uređenje</w:t>
      </w:r>
      <w:r w:rsidR="00CF6F50" w:rsidRPr="00C80953">
        <w:rPr>
          <w:rFonts w:cstheme="minorHAnsi"/>
          <w:b/>
          <w:sz w:val="24"/>
          <w:szCs w:val="24"/>
        </w:rPr>
        <w:t xml:space="preserve"> sakralnih objekata</w:t>
      </w:r>
      <w:r w:rsidRPr="00C80953">
        <w:rPr>
          <w:rFonts w:cstheme="minorHAnsi"/>
          <w:b/>
          <w:sz w:val="24"/>
          <w:szCs w:val="24"/>
        </w:rPr>
        <w:t xml:space="preserve">, </w:t>
      </w:r>
      <w:r w:rsidR="00C80953">
        <w:rPr>
          <w:rFonts w:cstheme="minorHAnsi"/>
          <w:b/>
          <w:sz w:val="24"/>
          <w:szCs w:val="24"/>
        </w:rPr>
        <w:t>U</w:t>
      </w:r>
      <w:r w:rsidR="00C80953" w:rsidRPr="00C80953">
        <w:rPr>
          <w:rFonts w:cstheme="minorHAnsi"/>
          <w:b/>
          <w:sz w:val="24"/>
          <w:szCs w:val="24"/>
        </w:rPr>
        <w:t>druge iz Domovinskog rata</w:t>
      </w:r>
      <w:r w:rsidRPr="00C80953">
        <w:rPr>
          <w:rFonts w:cstheme="minorHAnsi"/>
          <w:b/>
          <w:sz w:val="24"/>
          <w:szCs w:val="24"/>
        </w:rPr>
        <w:t>)</w:t>
      </w:r>
      <w:r w:rsidR="00C61854" w:rsidRPr="00C80953">
        <w:rPr>
          <w:rFonts w:cs="Calibri"/>
          <w:b/>
          <w:sz w:val="24"/>
          <w:szCs w:val="24"/>
        </w:rPr>
        <w:t>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3370A8EE" w14:textId="77777777" w:rsidR="00A93814" w:rsidRPr="00A906E4" w:rsidRDefault="00A9381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18E6980D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Odgovori na pojedine upite u najkraćem mogućem roku </w:t>
      </w:r>
      <w:r w:rsidR="00DB6C7B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objavit će se na web stranici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4B796A2E" w14:textId="77777777" w:rsidR="00DB3998" w:rsidRPr="00A906E4" w:rsidRDefault="00DB3998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77777777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77A80232" w14:textId="77777777"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722995BE" w14:textId="64ED4319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7A267F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7A267F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787EC8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Povjerenstvo za formalnu provjeru  </w:t>
      </w:r>
      <w:r w:rsidR="005C2C9E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77777777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14:paraId="516B9E48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14:paraId="28A41503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14:paraId="0AE70B85" w14:textId="77777777" w:rsidR="00290F2C" w:rsidRPr="00A906E4" w:rsidRDefault="00290F2C" w:rsidP="00290F2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14:paraId="5CB1A4D6" w14:textId="358CCADF" w:rsidR="00290F2C" w:rsidRPr="00A906E4" w:rsidRDefault="00290F2C" w:rsidP="00290F2C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– </w:t>
      </w:r>
      <w:r w:rsidR="00AD410D">
        <w:rPr>
          <w:rFonts w:cstheme="minorHAnsi"/>
          <w:sz w:val="24"/>
          <w:szCs w:val="24"/>
        </w:rPr>
        <w:t>OBNOVA, SANACIJA, UREĐENJE ILI OPREMANJE</w:t>
      </w:r>
      <w:r w:rsidRPr="00A906E4">
        <w:rPr>
          <w:rFonts w:cstheme="minorHAnsi"/>
          <w:sz w:val="24"/>
          <w:szCs w:val="24"/>
        </w:rPr>
        <w:t xml:space="preserve"> SAKRALNIH OBJEKATA</w:t>
      </w:r>
    </w:p>
    <w:p w14:paraId="260D9670" w14:textId="1D89C1EE" w:rsidR="00290F2C" w:rsidRPr="00DA53C8" w:rsidRDefault="00290F2C" w:rsidP="00290F2C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 xml:space="preserve">KRITERIJI 2 – </w:t>
      </w:r>
      <w:r w:rsidR="00C06C5F" w:rsidRPr="00DA53C8">
        <w:rPr>
          <w:rFonts w:cstheme="minorHAnsi"/>
          <w:sz w:val="24"/>
          <w:szCs w:val="24"/>
        </w:rPr>
        <w:t>DOMOVINSKI RAT</w:t>
      </w:r>
    </w:p>
    <w:p w14:paraId="1CB17705" w14:textId="795D05ED" w:rsidR="008F0A96" w:rsidRPr="00DA53C8" w:rsidRDefault="008F0A96" w:rsidP="00453FA9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DA53C8">
        <w:rPr>
          <w:rFonts w:cstheme="minorHAnsi"/>
          <w:sz w:val="24"/>
          <w:szCs w:val="24"/>
        </w:rPr>
        <w:t>a na prijedlog Povjerenstva za ocjenjivanje</w:t>
      </w:r>
      <w:r w:rsidR="00903434" w:rsidRPr="00DA53C8">
        <w:rPr>
          <w:rFonts w:cstheme="minorHAnsi"/>
          <w:sz w:val="24"/>
          <w:szCs w:val="24"/>
        </w:rPr>
        <w:t>, gradonačelni</w:t>
      </w:r>
      <w:r w:rsidR="00FE6E37" w:rsidRPr="00DA53C8">
        <w:rPr>
          <w:rFonts w:cstheme="minorHAnsi"/>
          <w:sz w:val="24"/>
          <w:szCs w:val="24"/>
        </w:rPr>
        <w:t>ca</w:t>
      </w:r>
      <w:r w:rsidR="00903434" w:rsidRPr="00DA53C8">
        <w:rPr>
          <w:rFonts w:cstheme="minorHAnsi"/>
          <w:sz w:val="24"/>
          <w:szCs w:val="24"/>
        </w:rPr>
        <w:t xml:space="preserve"> </w:t>
      </w:r>
      <w:r w:rsidR="00976E1D" w:rsidRPr="00DA53C8">
        <w:rPr>
          <w:rFonts w:cstheme="minorHAnsi"/>
          <w:sz w:val="24"/>
          <w:szCs w:val="24"/>
        </w:rPr>
        <w:t xml:space="preserve">  donosi Odluku o dodjeli financijskih sredstava.</w:t>
      </w:r>
      <w:r w:rsidRPr="00DA53C8">
        <w:rPr>
          <w:rFonts w:cstheme="minorHAnsi"/>
          <w:sz w:val="24"/>
          <w:szCs w:val="24"/>
        </w:rPr>
        <w:t xml:space="preserve"> </w:t>
      </w:r>
    </w:p>
    <w:p w14:paraId="4401BC20" w14:textId="77777777"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14:paraId="119AE554" w14:textId="77777777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7E5C88DA" w14:textId="60CF5808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5C2C9E">
        <w:rPr>
          <w:rFonts w:eastAsia="Times New Roman" w:cstheme="minorHAnsi"/>
          <w:sz w:val="24"/>
          <w:szCs w:val="24"/>
          <w:lang w:eastAsia="hr-HR"/>
        </w:rPr>
        <w:t>ci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za odobravanje financijskih sredstava za programe ili projekte.</w:t>
      </w:r>
    </w:p>
    <w:p w14:paraId="3EFAFC05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A32A27" w14:textId="39E20E9A"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</w:t>
      </w:r>
      <w:r w:rsidR="008F302B">
        <w:rPr>
          <w:rFonts w:eastAsia="Times New Roman" w:cstheme="minorHAnsi"/>
          <w:sz w:val="24"/>
          <w:szCs w:val="24"/>
          <w:lang w:eastAsia="hr-HR"/>
        </w:rPr>
        <w:t>ca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donosi Odluku o odabiru programa/projekata kojima se odobravaju sredstva za financiranje/sufinanciranje.</w:t>
      </w:r>
    </w:p>
    <w:p w14:paraId="3794E7F2" w14:textId="77777777"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6692F738" w14:textId="77777777"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14:paraId="2F23040C" w14:textId="77777777"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D5F1EFE" w14:textId="77777777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34DFEB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14:paraId="087F3F13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4A36364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2BEADB85" w14:textId="77777777" w:rsidR="00B4722E" w:rsidRPr="00A906E4" w:rsidRDefault="00B472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A3100E" w14:textId="77777777"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14:paraId="4BABA8D9" w14:textId="77777777"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797CC7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36B4A002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Prigovor može podnijeti isključivo zakonski predstavnik organizacije prijavitelja. </w:t>
      </w:r>
    </w:p>
    <w:p w14:paraId="0C7708C7" w14:textId="77777777"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E0B16C7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1A75A617" w14:textId="77777777"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E717302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5155E57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513350" w14:textId="77777777"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12A7488" w14:textId="77777777"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C5518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61FE91A6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 xml:space="preserve">UGOVOR O FINANCIRANJU/SUFINANCIRANJU, MODELI I UVJETI FINANCIRANJA  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01DDCC51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273DBACE" w:rsidR="00E21C6A" w:rsidRPr="00DA53C8" w:rsidRDefault="00E21C6A" w:rsidP="00D30B13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 xml:space="preserve">Ovaj javni poziv ima nekoliko modela financiranja i to: </w:t>
      </w:r>
    </w:p>
    <w:p w14:paraId="00E19D3F" w14:textId="77777777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 xml:space="preserve">Model 1. </w:t>
      </w:r>
    </w:p>
    <w:p w14:paraId="6A5A1ED3" w14:textId="77777777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14:paraId="1E5D738D" w14:textId="3669F5B8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>Zahtjev za isplatu sredstava mora se podnijeti odmah po zaključenju ugovora, a najkasnije do 20. prosinca 20</w:t>
      </w:r>
      <w:r w:rsidR="00641148" w:rsidRPr="00DA53C8">
        <w:rPr>
          <w:rFonts w:cstheme="minorHAnsi"/>
          <w:sz w:val="24"/>
          <w:szCs w:val="24"/>
        </w:rPr>
        <w:t>24</w:t>
      </w:r>
      <w:r w:rsidRPr="00DA53C8">
        <w:rPr>
          <w:rFonts w:cstheme="minorHAnsi"/>
          <w:sz w:val="24"/>
          <w:szCs w:val="24"/>
        </w:rPr>
        <w:t>. godine.</w:t>
      </w:r>
    </w:p>
    <w:p w14:paraId="0226A093" w14:textId="52A95DD3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 xml:space="preserve">Korisnik je dužan dostaviti završno izvješće Gradu u roku </w:t>
      </w:r>
      <w:r w:rsidR="00641148" w:rsidRPr="00DA53C8">
        <w:rPr>
          <w:rFonts w:cstheme="minorHAnsi"/>
          <w:sz w:val="24"/>
          <w:szCs w:val="24"/>
        </w:rPr>
        <w:t>3</w:t>
      </w:r>
      <w:r w:rsidRPr="00DA53C8">
        <w:rPr>
          <w:rFonts w:cstheme="minorHAnsi"/>
          <w:sz w:val="24"/>
          <w:szCs w:val="24"/>
        </w:rPr>
        <w:t xml:space="preserve">0 dana od dana završetka projekta, a najkasnije do kraja mjeseca </w:t>
      </w:r>
      <w:r w:rsidR="00641148" w:rsidRPr="00DA53C8">
        <w:rPr>
          <w:rFonts w:cstheme="minorHAnsi"/>
          <w:sz w:val="24"/>
          <w:szCs w:val="24"/>
        </w:rPr>
        <w:t>siječnja</w:t>
      </w:r>
      <w:r w:rsidRPr="00DA53C8">
        <w:rPr>
          <w:rFonts w:cstheme="minorHAnsi"/>
          <w:sz w:val="24"/>
          <w:szCs w:val="24"/>
        </w:rPr>
        <w:t xml:space="preserve"> 20</w:t>
      </w:r>
      <w:r w:rsidR="00641148" w:rsidRPr="00DA53C8">
        <w:rPr>
          <w:rFonts w:cstheme="minorHAnsi"/>
          <w:sz w:val="24"/>
          <w:szCs w:val="24"/>
        </w:rPr>
        <w:t>25</w:t>
      </w:r>
      <w:r w:rsidRPr="00DA53C8">
        <w:rPr>
          <w:rFonts w:cstheme="minorHAnsi"/>
          <w:sz w:val="24"/>
          <w:szCs w:val="24"/>
        </w:rPr>
        <w:t>. godine</w:t>
      </w:r>
      <w:r w:rsidR="00641148" w:rsidRPr="00DA53C8">
        <w:rPr>
          <w:rFonts w:cstheme="minorHAnsi"/>
          <w:sz w:val="24"/>
          <w:szCs w:val="24"/>
        </w:rPr>
        <w:t>.</w:t>
      </w:r>
    </w:p>
    <w:p w14:paraId="1EEACB4C" w14:textId="77777777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085D650" w14:textId="77777777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>Model 2.</w:t>
      </w:r>
    </w:p>
    <w:p w14:paraId="197B9248" w14:textId="77777777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>Korisnik može zatražiti da mu se sredstva u cijelosti isplate tek po  okončanju provedbe projekta. U tom slučaju, Korisnik je dužan  prije potpisivanja ugovora dostaviti izjavu kojom iskazuje da želi takav model plaćanja.</w:t>
      </w:r>
    </w:p>
    <w:p w14:paraId="2453AFD3" w14:textId="34476C9C" w:rsidR="00C06C5F" w:rsidRPr="00DA53C8" w:rsidRDefault="00C06C5F" w:rsidP="00C06C5F">
      <w:pPr>
        <w:jc w:val="both"/>
        <w:rPr>
          <w:rFonts w:cstheme="minorHAnsi"/>
          <w:sz w:val="24"/>
          <w:szCs w:val="24"/>
        </w:rPr>
      </w:pPr>
      <w:r w:rsidRPr="00DA53C8">
        <w:rPr>
          <w:rFonts w:cstheme="minorHAnsi"/>
          <w:sz w:val="24"/>
          <w:szCs w:val="24"/>
        </w:rPr>
        <w:t>Korisnik je u ovom modelu plaćanja  dužan  podnijeti zahtjev za isplatu najkasnije do 20. prosinca 20</w:t>
      </w:r>
      <w:r w:rsidR="00641148" w:rsidRPr="00DA53C8">
        <w:rPr>
          <w:rFonts w:cstheme="minorHAnsi"/>
          <w:sz w:val="24"/>
          <w:szCs w:val="24"/>
        </w:rPr>
        <w:t>24</w:t>
      </w:r>
      <w:r w:rsidRPr="00DA53C8">
        <w:rPr>
          <w:rFonts w:cstheme="minorHAnsi"/>
          <w:sz w:val="24"/>
          <w:szCs w:val="24"/>
        </w:rPr>
        <w:t>. godine kako bi se isplata mogla izvršiti do kraja proračunske godine, a uz zahtjev je dužan  dostaviti  i završno izvješće o provedbi programa/projekta.</w:t>
      </w:r>
    </w:p>
    <w:p w14:paraId="67D07244" w14:textId="77777777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53D0BB55" w14:textId="77777777"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1F8861B5" w:rsidR="000E09E0" w:rsidRPr="00071F38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071F38">
        <w:rPr>
          <w:rFonts w:cstheme="minorHAnsi"/>
          <w:sz w:val="24"/>
          <w:szCs w:val="24"/>
        </w:rPr>
        <w:lastRenderedPageBreak/>
        <w:t>U roku o</w:t>
      </w:r>
      <w:r w:rsidR="00B35176" w:rsidRPr="00071F38">
        <w:rPr>
          <w:rFonts w:cstheme="minorHAnsi"/>
          <w:sz w:val="24"/>
          <w:szCs w:val="24"/>
        </w:rPr>
        <w:t>d  3</w:t>
      </w:r>
      <w:r w:rsidR="00F976F6" w:rsidRPr="00071F38">
        <w:rPr>
          <w:rFonts w:cstheme="minorHAnsi"/>
          <w:sz w:val="24"/>
          <w:szCs w:val="24"/>
        </w:rPr>
        <w:t>0 dana</w:t>
      </w:r>
      <w:r w:rsidR="00324277" w:rsidRPr="00071F38">
        <w:rPr>
          <w:rFonts w:cstheme="minorHAnsi"/>
          <w:sz w:val="24"/>
          <w:szCs w:val="24"/>
        </w:rPr>
        <w:t xml:space="preserve"> nakon završetka provedbe programa</w:t>
      </w:r>
      <w:r w:rsidR="00941E9A" w:rsidRPr="00071F38">
        <w:rPr>
          <w:rFonts w:cstheme="minorHAnsi"/>
          <w:sz w:val="24"/>
          <w:szCs w:val="24"/>
        </w:rPr>
        <w:t xml:space="preserve"> korisnik je dužan Gradu Novska</w:t>
      </w:r>
      <w:r w:rsidR="00324277" w:rsidRPr="00071F38">
        <w:rPr>
          <w:rFonts w:cstheme="minorHAnsi"/>
          <w:sz w:val="24"/>
          <w:szCs w:val="24"/>
        </w:rPr>
        <w:t xml:space="preserve"> dostaviti </w:t>
      </w:r>
      <w:r w:rsidR="00F976F6" w:rsidRPr="00071F38">
        <w:rPr>
          <w:rFonts w:cstheme="minorHAnsi"/>
          <w:sz w:val="24"/>
          <w:szCs w:val="24"/>
        </w:rPr>
        <w:t xml:space="preserve">završno </w:t>
      </w:r>
      <w:r w:rsidR="00324277" w:rsidRPr="00071F38">
        <w:rPr>
          <w:rFonts w:cstheme="minorHAnsi"/>
          <w:sz w:val="24"/>
          <w:szCs w:val="24"/>
        </w:rPr>
        <w:t>dokumentirano programsko i financijsko izvješće o n</w:t>
      </w:r>
      <w:r w:rsidR="001148D9" w:rsidRPr="00071F38">
        <w:rPr>
          <w:rFonts w:cstheme="minorHAnsi"/>
          <w:sz w:val="24"/>
          <w:szCs w:val="24"/>
        </w:rPr>
        <w:t>amjenskom korištenju sredsta</w:t>
      </w:r>
      <w:r w:rsidR="00924EF7" w:rsidRPr="00071F38">
        <w:rPr>
          <w:rFonts w:cstheme="minorHAnsi"/>
          <w:sz w:val="24"/>
          <w:szCs w:val="24"/>
        </w:rPr>
        <w:t>va, a najkasnije do 31. siječnja</w:t>
      </w:r>
      <w:r w:rsidR="009049F8" w:rsidRPr="00071F38">
        <w:rPr>
          <w:rFonts w:cstheme="minorHAnsi"/>
          <w:sz w:val="24"/>
          <w:szCs w:val="24"/>
        </w:rPr>
        <w:t xml:space="preserve"> 202</w:t>
      </w:r>
      <w:r w:rsidR="00B10E6B" w:rsidRPr="00071F38">
        <w:rPr>
          <w:rFonts w:cstheme="minorHAnsi"/>
          <w:sz w:val="24"/>
          <w:szCs w:val="24"/>
        </w:rPr>
        <w:t>5</w:t>
      </w:r>
      <w:r w:rsidRPr="00071F38">
        <w:rPr>
          <w:rFonts w:cstheme="minorHAnsi"/>
          <w:sz w:val="24"/>
          <w:szCs w:val="24"/>
        </w:rPr>
        <w:t>. godine</w:t>
      </w:r>
      <w:r w:rsidR="00071F38" w:rsidRPr="00071F38">
        <w:rPr>
          <w:rFonts w:cstheme="minorHAnsi"/>
          <w:sz w:val="24"/>
          <w:szCs w:val="24"/>
        </w:rPr>
        <w:t>.</w:t>
      </w:r>
      <w:r w:rsidRPr="00071F38">
        <w:rPr>
          <w:rFonts w:cstheme="minorHAnsi"/>
          <w:sz w:val="24"/>
          <w:szCs w:val="24"/>
        </w:rPr>
        <w:t xml:space="preserve"> </w:t>
      </w:r>
    </w:p>
    <w:p w14:paraId="31DF6388" w14:textId="77777777"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61FA2881" w14:textId="77777777"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77777777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63774E51" w14:textId="22E1806E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3 -  </w:t>
      </w:r>
      <w:r w:rsidR="00571675">
        <w:rPr>
          <w:rFonts w:cstheme="minorHAnsi"/>
          <w:sz w:val="24"/>
          <w:szCs w:val="24"/>
        </w:rPr>
        <w:t>OPIS PROJEKTA</w:t>
      </w:r>
      <w:r w:rsidRPr="00A906E4">
        <w:rPr>
          <w:rFonts w:cstheme="minorHAnsi"/>
          <w:sz w:val="24"/>
          <w:szCs w:val="24"/>
        </w:rPr>
        <w:t xml:space="preserve"> – obnova i </w:t>
      </w:r>
      <w:r w:rsidR="00000565">
        <w:rPr>
          <w:rFonts w:cstheme="minorHAnsi"/>
          <w:sz w:val="24"/>
          <w:szCs w:val="24"/>
        </w:rPr>
        <w:t>uređenje</w:t>
      </w:r>
      <w:r w:rsidRPr="00A906E4">
        <w:rPr>
          <w:rFonts w:cstheme="minorHAnsi"/>
          <w:sz w:val="24"/>
          <w:szCs w:val="24"/>
        </w:rPr>
        <w:t xml:space="preserve"> sakralnih objekata</w:t>
      </w:r>
    </w:p>
    <w:p w14:paraId="73047188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4 -  Izjava o partnerstvu (ako je primjenjivo)</w:t>
      </w:r>
    </w:p>
    <w:p w14:paraId="0C847521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5 – Izjava o nepostojanju dvostrukog financiranja</w:t>
      </w:r>
    </w:p>
    <w:p w14:paraId="508E3D3E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6 – Ugovor o financiranju s općim uvjetima koji se primjenjuju </w:t>
      </w:r>
    </w:p>
    <w:p w14:paraId="7BD04D95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7 – Zahtjev za isplatu sredstava</w:t>
      </w:r>
    </w:p>
    <w:p w14:paraId="013D5A13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8  - Opisni izvještaj projekta</w:t>
      </w:r>
    </w:p>
    <w:p w14:paraId="29B531A4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9  - Financijski izvještaj projekta</w:t>
      </w:r>
    </w:p>
    <w:p w14:paraId="7F93339D" w14:textId="0F850E00" w:rsidR="00F1534D" w:rsidRPr="00F1534D" w:rsidRDefault="00F9744E" w:rsidP="006620F0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534D">
        <w:rPr>
          <w:rFonts w:cstheme="minorHAnsi"/>
          <w:sz w:val="24"/>
          <w:szCs w:val="24"/>
        </w:rPr>
        <w:t>Kriteriji 1 -  Obnova</w:t>
      </w:r>
      <w:r w:rsidR="00F1534D" w:rsidRPr="00F1534D">
        <w:rPr>
          <w:rFonts w:cstheme="minorHAnsi"/>
          <w:sz w:val="24"/>
          <w:szCs w:val="24"/>
        </w:rPr>
        <w:t>, sanacija, uređenje ili opremanje</w:t>
      </w:r>
      <w:r w:rsidR="00000565" w:rsidRPr="00F1534D">
        <w:rPr>
          <w:rFonts w:cstheme="minorHAnsi"/>
          <w:sz w:val="24"/>
          <w:szCs w:val="24"/>
        </w:rPr>
        <w:t xml:space="preserve"> </w:t>
      </w:r>
      <w:r w:rsidRPr="00F1534D">
        <w:rPr>
          <w:rFonts w:cstheme="minorHAnsi"/>
          <w:sz w:val="24"/>
          <w:szCs w:val="24"/>
        </w:rPr>
        <w:t>sakralnih objekata</w:t>
      </w:r>
      <w:r w:rsidR="00F1534D" w:rsidRPr="00F1534D">
        <w:t xml:space="preserve"> </w:t>
      </w:r>
    </w:p>
    <w:p w14:paraId="18CCDE20" w14:textId="0BCCABE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2 -  </w:t>
      </w:r>
      <w:r w:rsidR="00641148">
        <w:rPr>
          <w:rFonts w:cstheme="minorHAnsi"/>
          <w:sz w:val="24"/>
          <w:szCs w:val="24"/>
        </w:rPr>
        <w:t>Domovinski rat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198ABC9" w14:textId="77777777"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14:paraId="0903280C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14:paraId="1EDEA896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592408B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566FECD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9630B6" w:rsidRPr="009630B6" w14:paraId="67B780FF" w14:textId="77777777" w:rsidTr="00457A74">
        <w:tc>
          <w:tcPr>
            <w:tcW w:w="7400" w:type="dxa"/>
            <w:shd w:val="clear" w:color="auto" w:fill="FFFFFF" w:themeFill="background1"/>
          </w:tcPr>
          <w:p w14:paraId="5EF65536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14:paraId="2B2FE6D7" w14:textId="6F6AC31A" w:rsidR="004C5F24" w:rsidRPr="009630B6" w:rsidRDefault="00915A3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02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.2024.</w:t>
            </w:r>
          </w:p>
        </w:tc>
      </w:tr>
      <w:tr w:rsidR="009630B6" w:rsidRPr="009630B6" w14:paraId="2C110796" w14:textId="77777777" w:rsidTr="00457A74">
        <w:tc>
          <w:tcPr>
            <w:tcW w:w="7400" w:type="dxa"/>
            <w:shd w:val="clear" w:color="auto" w:fill="FFFFFF" w:themeFill="background1"/>
          </w:tcPr>
          <w:p w14:paraId="05DCAE00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14:paraId="7E0BF709" w14:textId="38ABF538" w:rsidR="004C5F24" w:rsidRPr="009630B6" w:rsidRDefault="00915A3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04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11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.2024.</w:t>
            </w:r>
          </w:p>
        </w:tc>
      </w:tr>
      <w:tr w:rsidR="009630B6" w:rsidRPr="009630B6" w14:paraId="4D3CB0FA" w14:textId="77777777" w:rsidTr="00457A74">
        <w:tc>
          <w:tcPr>
            <w:tcW w:w="7400" w:type="dxa"/>
            <w:shd w:val="clear" w:color="auto" w:fill="FFFFFF" w:themeFill="background1"/>
          </w:tcPr>
          <w:p w14:paraId="245CCDF3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lastRenderedPageBreak/>
              <w:t>Rok za slanje pitanja vezanih uz poziv</w:t>
            </w:r>
          </w:p>
        </w:tc>
        <w:tc>
          <w:tcPr>
            <w:tcW w:w="2410" w:type="dxa"/>
          </w:tcPr>
          <w:p w14:paraId="1755AF8F" w14:textId="5C7CD70B" w:rsidR="004C5F24" w:rsidRPr="009630B6" w:rsidRDefault="00915A3A" w:rsidP="00CB077D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30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.2024.</w:t>
            </w:r>
            <w:r w:rsidR="004C5F24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9630B6" w:rsidRPr="009630B6" w14:paraId="7F728066" w14:textId="77777777" w:rsidTr="00457A74">
        <w:tc>
          <w:tcPr>
            <w:tcW w:w="7400" w:type="dxa"/>
            <w:shd w:val="clear" w:color="auto" w:fill="FFFFFF" w:themeFill="background1"/>
          </w:tcPr>
          <w:p w14:paraId="2C5E5138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395EA87C" w14:textId="1E89E4D2" w:rsidR="004C5F24" w:rsidRPr="009630B6" w:rsidRDefault="002F16E0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28.02.2024.</w:t>
            </w:r>
            <w:r w:rsidR="004C5F24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9630B6" w:rsidRPr="009630B6" w14:paraId="04428FA9" w14:textId="77777777" w:rsidTr="00457A74">
        <w:tc>
          <w:tcPr>
            <w:tcW w:w="7400" w:type="dxa"/>
            <w:shd w:val="clear" w:color="auto" w:fill="FFFFFF" w:themeFill="background1"/>
          </w:tcPr>
          <w:p w14:paraId="66B4C3B6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14:paraId="3FC5044B" w14:textId="5F1BF44B" w:rsidR="004C5F24" w:rsidRPr="009630B6" w:rsidRDefault="00915A3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657005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11</w:t>
            </w:r>
            <w:r w:rsidR="00657005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.2024.</w:t>
            </w:r>
            <w:r w:rsidR="004C5F24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630B6" w:rsidRPr="009630B6" w14:paraId="5C743F66" w14:textId="77777777" w:rsidTr="00457A74">
        <w:tc>
          <w:tcPr>
            <w:tcW w:w="7400" w:type="dxa"/>
            <w:shd w:val="clear" w:color="auto" w:fill="FFFFFF" w:themeFill="background1"/>
          </w:tcPr>
          <w:p w14:paraId="088DF4C7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48F43A7A" w14:textId="03436D01" w:rsidR="004C5F24" w:rsidRPr="009630B6" w:rsidRDefault="00915A3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15</w:t>
            </w:r>
            <w:r w:rsidR="00657005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11</w:t>
            </w:r>
            <w:r w:rsidR="00657005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.2024.</w:t>
            </w:r>
            <w:r w:rsidR="004C5F24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9630B6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630B6" w:rsidRPr="009630B6" w14:paraId="45B446E4" w14:textId="77777777" w:rsidTr="00457A74">
        <w:tc>
          <w:tcPr>
            <w:tcW w:w="7400" w:type="dxa"/>
            <w:shd w:val="clear" w:color="auto" w:fill="FFFFFF" w:themeFill="background1"/>
          </w:tcPr>
          <w:p w14:paraId="72B1072A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0C6CD1AB" w14:textId="1A7AC56C" w:rsidR="004C5F24" w:rsidRPr="009630B6" w:rsidRDefault="00915A3A" w:rsidP="00CB232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20</w:t>
            </w:r>
            <w:r w:rsidR="00657005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11</w:t>
            </w:r>
            <w:r w:rsidR="00657005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.2024.</w:t>
            </w:r>
            <w:r w:rsidR="004C5F24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  <w:tr w:rsidR="009630B6" w:rsidRPr="009630B6" w14:paraId="044F57A0" w14:textId="77777777" w:rsidTr="00457A74">
        <w:tc>
          <w:tcPr>
            <w:tcW w:w="7400" w:type="dxa"/>
            <w:shd w:val="clear" w:color="auto" w:fill="FFFFFF" w:themeFill="background1"/>
          </w:tcPr>
          <w:p w14:paraId="30107464" w14:textId="77777777" w:rsidR="004C5F24" w:rsidRPr="009630B6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14:paraId="024DF8D3" w14:textId="169AEB90" w:rsidR="004C5F24" w:rsidRPr="009630B6" w:rsidRDefault="00915A3A" w:rsidP="00CB232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30</w:t>
            </w:r>
            <w:r w:rsidR="00657005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11</w:t>
            </w:r>
            <w:r w:rsidR="00657005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.2024.</w:t>
            </w:r>
            <w:r w:rsidR="004C5F24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9630B6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72E1459A" w14:textId="77777777"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6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14:paraId="473829C9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A7D085" w14:textId="77777777"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B331" w14:textId="77777777" w:rsidR="00D83D3D" w:rsidRDefault="00D83D3D" w:rsidP="006840F0">
      <w:pPr>
        <w:spacing w:before="0" w:after="0" w:line="240" w:lineRule="auto"/>
      </w:pPr>
      <w:r>
        <w:separator/>
      </w:r>
    </w:p>
  </w:endnote>
  <w:endnote w:type="continuationSeparator" w:id="0">
    <w:p w14:paraId="761D9BF8" w14:textId="77777777" w:rsidR="00D83D3D" w:rsidRDefault="00D83D3D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E6C7" w14:textId="77777777" w:rsidR="00D83D3D" w:rsidRDefault="00D83D3D" w:rsidP="006840F0">
      <w:pPr>
        <w:spacing w:before="0" w:after="0" w:line="240" w:lineRule="auto"/>
      </w:pPr>
      <w:r>
        <w:separator/>
      </w:r>
    </w:p>
  </w:footnote>
  <w:footnote w:type="continuationSeparator" w:id="0">
    <w:p w14:paraId="7FED8C00" w14:textId="77777777" w:rsidR="00D83D3D" w:rsidRDefault="00D83D3D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1DF1"/>
    <w:rsid w:val="000051A4"/>
    <w:rsid w:val="0001007E"/>
    <w:rsid w:val="0001042A"/>
    <w:rsid w:val="00010936"/>
    <w:rsid w:val="00010E70"/>
    <w:rsid w:val="00013123"/>
    <w:rsid w:val="0001431D"/>
    <w:rsid w:val="000148AA"/>
    <w:rsid w:val="00016EA2"/>
    <w:rsid w:val="00026143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65C9D"/>
    <w:rsid w:val="00071B63"/>
    <w:rsid w:val="00071F38"/>
    <w:rsid w:val="00072CB4"/>
    <w:rsid w:val="000744F9"/>
    <w:rsid w:val="00076962"/>
    <w:rsid w:val="0008043A"/>
    <w:rsid w:val="00080583"/>
    <w:rsid w:val="00080C78"/>
    <w:rsid w:val="00080D7D"/>
    <w:rsid w:val="0008207B"/>
    <w:rsid w:val="000914D0"/>
    <w:rsid w:val="0009278F"/>
    <w:rsid w:val="0009405B"/>
    <w:rsid w:val="000943B0"/>
    <w:rsid w:val="000A1565"/>
    <w:rsid w:val="000A1AF4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3B50"/>
    <w:rsid w:val="001148D9"/>
    <w:rsid w:val="00116D82"/>
    <w:rsid w:val="00123CA8"/>
    <w:rsid w:val="001249A0"/>
    <w:rsid w:val="001258F6"/>
    <w:rsid w:val="00136B16"/>
    <w:rsid w:val="00144FB8"/>
    <w:rsid w:val="00156404"/>
    <w:rsid w:val="00156626"/>
    <w:rsid w:val="0016360E"/>
    <w:rsid w:val="001639FC"/>
    <w:rsid w:val="001662D7"/>
    <w:rsid w:val="00172E35"/>
    <w:rsid w:val="00177D30"/>
    <w:rsid w:val="001834E8"/>
    <w:rsid w:val="00187168"/>
    <w:rsid w:val="001944D4"/>
    <w:rsid w:val="00194673"/>
    <w:rsid w:val="001A6860"/>
    <w:rsid w:val="001B0B91"/>
    <w:rsid w:val="001B1B40"/>
    <w:rsid w:val="001B2FF6"/>
    <w:rsid w:val="001B3DF6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16C05"/>
    <w:rsid w:val="00220A47"/>
    <w:rsid w:val="00221EA7"/>
    <w:rsid w:val="00226FA6"/>
    <w:rsid w:val="00230B48"/>
    <w:rsid w:val="002376E1"/>
    <w:rsid w:val="002415A3"/>
    <w:rsid w:val="0024631D"/>
    <w:rsid w:val="00246932"/>
    <w:rsid w:val="00250E46"/>
    <w:rsid w:val="00251050"/>
    <w:rsid w:val="00256641"/>
    <w:rsid w:val="00272F22"/>
    <w:rsid w:val="00273641"/>
    <w:rsid w:val="00277611"/>
    <w:rsid w:val="00277BFC"/>
    <w:rsid w:val="00286346"/>
    <w:rsid w:val="002868BE"/>
    <w:rsid w:val="00290F2C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16E0"/>
    <w:rsid w:val="002F179D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4D91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85FFF"/>
    <w:rsid w:val="003932C7"/>
    <w:rsid w:val="00393E32"/>
    <w:rsid w:val="00395DDD"/>
    <w:rsid w:val="003A190B"/>
    <w:rsid w:val="003A1A70"/>
    <w:rsid w:val="003A33E5"/>
    <w:rsid w:val="003A341C"/>
    <w:rsid w:val="003A3ADD"/>
    <w:rsid w:val="003A5CE5"/>
    <w:rsid w:val="003B0B1D"/>
    <w:rsid w:val="003B2779"/>
    <w:rsid w:val="003B4442"/>
    <w:rsid w:val="003B7042"/>
    <w:rsid w:val="003B7766"/>
    <w:rsid w:val="003B7F80"/>
    <w:rsid w:val="003C14D4"/>
    <w:rsid w:val="003C3E79"/>
    <w:rsid w:val="003D04D9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3163"/>
    <w:rsid w:val="004139CB"/>
    <w:rsid w:val="00414ED7"/>
    <w:rsid w:val="00415AB3"/>
    <w:rsid w:val="004174E0"/>
    <w:rsid w:val="0042198B"/>
    <w:rsid w:val="00426E64"/>
    <w:rsid w:val="00427354"/>
    <w:rsid w:val="00427A00"/>
    <w:rsid w:val="0043064A"/>
    <w:rsid w:val="00432295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6786F"/>
    <w:rsid w:val="00467DD4"/>
    <w:rsid w:val="0047485F"/>
    <w:rsid w:val="004751F1"/>
    <w:rsid w:val="00475AF6"/>
    <w:rsid w:val="00475BAF"/>
    <w:rsid w:val="00475C70"/>
    <w:rsid w:val="00475D9E"/>
    <w:rsid w:val="0048069F"/>
    <w:rsid w:val="004830FF"/>
    <w:rsid w:val="00483CD2"/>
    <w:rsid w:val="004847F3"/>
    <w:rsid w:val="004848E7"/>
    <w:rsid w:val="00484D80"/>
    <w:rsid w:val="00484EA8"/>
    <w:rsid w:val="00490282"/>
    <w:rsid w:val="00490C69"/>
    <w:rsid w:val="00494D4D"/>
    <w:rsid w:val="004958A8"/>
    <w:rsid w:val="00495B9B"/>
    <w:rsid w:val="004A2CAC"/>
    <w:rsid w:val="004A3B7B"/>
    <w:rsid w:val="004B165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E2CC1"/>
    <w:rsid w:val="004F325B"/>
    <w:rsid w:val="004F51C1"/>
    <w:rsid w:val="004F5DBF"/>
    <w:rsid w:val="004F603B"/>
    <w:rsid w:val="00500827"/>
    <w:rsid w:val="00511C67"/>
    <w:rsid w:val="005166D7"/>
    <w:rsid w:val="0051731C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539E"/>
    <w:rsid w:val="00547390"/>
    <w:rsid w:val="00551ACF"/>
    <w:rsid w:val="00552B91"/>
    <w:rsid w:val="005535D1"/>
    <w:rsid w:val="0055380A"/>
    <w:rsid w:val="00555439"/>
    <w:rsid w:val="005574A3"/>
    <w:rsid w:val="0056394A"/>
    <w:rsid w:val="005656A1"/>
    <w:rsid w:val="0056697D"/>
    <w:rsid w:val="00567965"/>
    <w:rsid w:val="00571675"/>
    <w:rsid w:val="00573F62"/>
    <w:rsid w:val="00574268"/>
    <w:rsid w:val="00582CDA"/>
    <w:rsid w:val="00587FA5"/>
    <w:rsid w:val="005908F5"/>
    <w:rsid w:val="00591D32"/>
    <w:rsid w:val="00597669"/>
    <w:rsid w:val="005A2DA0"/>
    <w:rsid w:val="005B2989"/>
    <w:rsid w:val="005C1437"/>
    <w:rsid w:val="005C1626"/>
    <w:rsid w:val="005C2C9E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2AAA"/>
    <w:rsid w:val="005F49D9"/>
    <w:rsid w:val="005F7D6B"/>
    <w:rsid w:val="0060079E"/>
    <w:rsid w:val="00600F1C"/>
    <w:rsid w:val="00603898"/>
    <w:rsid w:val="006060C6"/>
    <w:rsid w:val="0061088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1148"/>
    <w:rsid w:val="00642AD3"/>
    <w:rsid w:val="00643FE9"/>
    <w:rsid w:val="00644EAD"/>
    <w:rsid w:val="006463CC"/>
    <w:rsid w:val="0064676F"/>
    <w:rsid w:val="00652296"/>
    <w:rsid w:val="00654183"/>
    <w:rsid w:val="00656D29"/>
    <w:rsid w:val="00657005"/>
    <w:rsid w:val="00661C22"/>
    <w:rsid w:val="00666DCA"/>
    <w:rsid w:val="00666FA8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39CE"/>
    <w:rsid w:val="006A41F7"/>
    <w:rsid w:val="006A4F3E"/>
    <w:rsid w:val="006A5CE9"/>
    <w:rsid w:val="006B2419"/>
    <w:rsid w:val="006B2DF8"/>
    <w:rsid w:val="006B393F"/>
    <w:rsid w:val="006B430E"/>
    <w:rsid w:val="006B7388"/>
    <w:rsid w:val="006B74B7"/>
    <w:rsid w:val="006B755D"/>
    <w:rsid w:val="006D35EB"/>
    <w:rsid w:val="006D450F"/>
    <w:rsid w:val="006D4FD6"/>
    <w:rsid w:val="006E227A"/>
    <w:rsid w:val="006E3CD9"/>
    <w:rsid w:val="006E6E4A"/>
    <w:rsid w:val="006E713B"/>
    <w:rsid w:val="006F139A"/>
    <w:rsid w:val="006F2577"/>
    <w:rsid w:val="006F5479"/>
    <w:rsid w:val="006F7002"/>
    <w:rsid w:val="00702211"/>
    <w:rsid w:val="00704DFA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5DC0"/>
    <w:rsid w:val="00787C5F"/>
    <w:rsid w:val="00790DBC"/>
    <w:rsid w:val="00793BC9"/>
    <w:rsid w:val="00795153"/>
    <w:rsid w:val="007A267F"/>
    <w:rsid w:val="007A59B5"/>
    <w:rsid w:val="007B0413"/>
    <w:rsid w:val="007B1C23"/>
    <w:rsid w:val="007B29A8"/>
    <w:rsid w:val="007B678D"/>
    <w:rsid w:val="007B765F"/>
    <w:rsid w:val="007C1AEB"/>
    <w:rsid w:val="007C1DEA"/>
    <w:rsid w:val="007C390C"/>
    <w:rsid w:val="007C7FB9"/>
    <w:rsid w:val="007D176C"/>
    <w:rsid w:val="007D2323"/>
    <w:rsid w:val="007D244C"/>
    <w:rsid w:val="007D2BEE"/>
    <w:rsid w:val="007D3CC5"/>
    <w:rsid w:val="007D56A6"/>
    <w:rsid w:val="007D575F"/>
    <w:rsid w:val="007D59D8"/>
    <w:rsid w:val="007E04A3"/>
    <w:rsid w:val="007E074E"/>
    <w:rsid w:val="007E3589"/>
    <w:rsid w:val="007E4968"/>
    <w:rsid w:val="007E7D74"/>
    <w:rsid w:val="007F2371"/>
    <w:rsid w:val="007F399E"/>
    <w:rsid w:val="00801195"/>
    <w:rsid w:val="008013FC"/>
    <w:rsid w:val="00802069"/>
    <w:rsid w:val="00802DE1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24D4"/>
    <w:rsid w:val="008934A0"/>
    <w:rsid w:val="00897965"/>
    <w:rsid w:val="008A29B4"/>
    <w:rsid w:val="008A2DD1"/>
    <w:rsid w:val="008A4904"/>
    <w:rsid w:val="008A5283"/>
    <w:rsid w:val="008B1C66"/>
    <w:rsid w:val="008B7CD8"/>
    <w:rsid w:val="008C1C7B"/>
    <w:rsid w:val="008C6AF6"/>
    <w:rsid w:val="008C722F"/>
    <w:rsid w:val="008D061D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90316A"/>
    <w:rsid w:val="00903434"/>
    <w:rsid w:val="009045CA"/>
    <w:rsid w:val="009045E6"/>
    <w:rsid w:val="009049F8"/>
    <w:rsid w:val="0090539D"/>
    <w:rsid w:val="00906289"/>
    <w:rsid w:val="00915A3A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3077"/>
    <w:rsid w:val="009438A7"/>
    <w:rsid w:val="00943E71"/>
    <w:rsid w:val="00945671"/>
    <w:rsid w:val="00945C9F"/>
    <w:rsid w:val="00945CBA"/>
    <w:rsid w:val="009506FF"/>
    <w:rsid w:val="009553A8"/>
    <w:rsid w:val="00956697"/>
    <w:rsid w:val="00957071"/>
    <w:rsid w:val="009630B6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2CCA"/>
    <w:rsid w:val="009F365F"/>
    <w:rsid w:val="009F6BEA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C90"/>
    <w:rsid w:val="00A4515A"/>
    <w:rsid w:val="00A5106E"/>
    <w:rsid w:val="00A52157"/>
    <w:rsid w:val="00A52CDD"/>
    <w:rsid w:val="00A540AE"/>
    <w:rsid w:val="00A54EB4"/>
    <w:rsid w:val="00A56DAA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196"/>
    <w:rsid w:val="00A86C52"/>
    <w:rsid w:val="00A870AB"/>
    <w:rsid w:val="00A906E4"/>
    <w:rsid w:val="00A91E68"/>
    <w:rsid w:val="00A92EEB"/>
    <w:rsid w:val="00A93814"/>
    <w:rsid w:val="00A97275"/>
    <w:rsid w:val="00AA0F27"/>
    <w:rsid w:val="00AA18FB"/>
    <w:rsid w:val="00AB6C20"/>
    <w:rsid w:val="00AC0B04"/>
    <w:rsid w:val="00AC2FAE"/>
    <w:rsid w:val="00AC48CB"/>
    <w:rsid w:val="00AC4AC4"/>
    <w:rsid w:val="00AD18EC"/>
    <w:rsid w:val="00AD410D"/>
    <w:rsid w:val="00AD4C8C"/>
    <w:rsid w:val="00AD5975"/>
    <w:rsid w:val="00AE0615"/>
    <w:rsid w:val="00AE09A7"/>
    <w:rsid w:val="00AE2F36"/>
    <w:rsid w:val="00AE524B"/>
    <w:rsid w:val="00AE6050"/>
    <w:rsid w:val="00B056AF"/>
    <w:rsid w:val="00B05F88"/>
    <w:rsid w:val="00B06D5C"/>
    <w:rsid w:val="00B10E6B"/>
    <w:rsid w:val="00B12D68"/>
    <w:rsid w:val="00B137E8"/>
    <w:rsid w:val="00B166ED"/>
    <w:rsid w:val="00B17A3A"/>
    <w:rsid w:val="00B17E07"/>
    <w:rsid w:val="00B20EC0"/>
    <w:rsid w:val="00B30724"/>
    <w:rsid w:val="00B35176"/>
    <w:rsid w:val="00B3662E"/>
    <w:rsid w:val="00B41C67"/>
    <w:rsid w:val="00B4691B"/>
    <w:rsid w:val="00B4722E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0F4B"/>
    <w:rsid w:val="00B8281F"/>
    <w:rsid w:val="00B87091"/>
    <w:rsid w:val="00B87580"/>
    <w:rsid w:val="00B876D1"/>
    <w:rsid w:val="00B90757"/>
    <w:rsid w:val="00B92A6D"/>
    <w:rsid w:val="00B9373E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B67F7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746B"/>
    <w:rsid w:val="00C01607"/>
    <w:rsid w:val="00C02915"/>
    <w:rsid w:val="00C067F0"/>
    <w:rsid w:val="00C06C5F"/>
    <w:rsid w:val="00C16D69"/>
    <w:rsid w:val="00C20285"/>
    <w:rsid w:val="00C23FA6"/>
    <w:rsid w:val="00C24B1D"/>
    <w:rsid w:val="00C26F3C"/>
    <w:rsid w:val="00C32760"/>
    <w:rsid w:val="00C33DEB"/>
    <w:rsid w:val="00C35BCA"/>
    <w:rsid w:val="00C461E1"/>
    <w:rsid w:val="00C56935"/>
    <w:rsid w:val="00C61854"/>
    <w:rsid w:val="00C64637"/>
    <w:rsid w:val="00C678A2"/>
    <w:rsid w:val="00C715A6"/>
    <w:rsid w:val="00C71DC2"/>
    <w:rsid w:val="00C75E65"/>
    <w:rsid w:val="00C801C1"/>
    <w:rsid w:val="00C80953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077D"/>
    <w:rsid w:val="00CB2323"/>
    <w:rsid w:val="00CB3082"/>
    <w:rsid w:val="00CB4435"/>
    <w:rsid w:val="00CB4771"/>
    <w:rsid w:val="00CC5452"/>
    <w:rsid w:val="00CC57FF"/>
    <w:rsid w:val="00CD155D"/>
    <w:rsid w:val="00CD1D8F"/>
    <w:rsid w:val="00CD408C"/>
    <w:rsid w:val="00CD5F6F"/>
    <w:rsid w:val="00CD71BC"/>
    <w:rsid w:val="00CE05A7"/>
    <w:rsid w:val="00CE1489"/>
    <w:rsid w:val="00CE529C"/>
    <w:rsid w:val="00CE6C8D"/>
    <w:rsid w:val="00CF52BF"/>
    <w:rsid w:val="00CF5DC5"/>
    <w:rsid w:val="00CF6F50"/>
    <w:rsid w:val="00CF722E"/>
    <w:rsid w:val="00D06DE4"/>
    <w:rsid w:val="00D129F7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EF3"/>
    <w:rsid w:val="00D77BF5"/>
    <w:rsid w:val="00D83797"/>
    <w:rsid w:val="00D83D3D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3C8"/>
    <w:rsid w:val="00DA5FDD"/>
    <w:rsid w:val="00DB3998"/>
    <w:rsid w:val="00DB3C74"/>
    <w:rsid w:val="00DB4814"/>
    <w:rsid w:val="00DB5A01"/>
    <w:rsid w:val="00DB5C4C"/>
    <w:rsid w:val="00DB6C7B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4BCC"/>
    <w:rsid w:val="00DE5C6C"/>
    <w:rsid w:val="00DF1B5A"/>
    <w:rsid w:val="00DF2704"/>
    <w:rsid w:val="00DF680B"/>
    <w:rsid w:val="00DF69CE"/>
    <w:rsid w:val="00E007F7"/>
    <w:rsid w:val="00E03078"/>
    <w:rsid w:val="00E118BD"/>
    <w:rsid w:val="00E203F2"/>
    <w:rsid w:val="00E2142A"/>
    <w:rsid w:val="00E21C6A"/>
    <w:rsid w:val="00E258A5"/>
    <w:rsid w:val="00E269DD"/>
    <w:rsid w:val="00E34315"/>
    <w:rsid w:val="00E35199"/>
    <w:rsid w:val="00E403D9"/>
    <w:rsid w:val="00E43BAD"/>
    <w:rsid w:val="00E44355"/>
    <w:rsid w:val="00E51F8F"/>
    <w:rsid w:val="00E526A4"/>
    <w:rsid w:val="00E534A8"/>
    <w:rsid w:val="00E53C25"/>
    <w:rsid w:val="00E55BCC"/>
    <w:rsid w:val="00E56404"/>
    <w:rsid w:val="00E57482"/>
    <w:rsid w:val="00E615D1"/>
    <w:rsid w:val="00E6258C"/>
    <w:rsid w:val="00E63EB7"/>
    <w:rsid w:val="00E646F1"/>
    <w:rsid w:val="00E653DA"/>
    <w:rsid w:val="00E677D6"/>
    <w:rsid w:val="00E67C9E"/>
    <w:rsid w:val="00E67E5C"/>
    <w:rsid w:val="00E67EA8"/>
    <w:rsid w:val="00E74F96"/>
    <w:rsid w:val="00E7593E"/>
    <w:rsid w:val="00E75F78"/>
    <w:rsid w:val="00E812F2"/>
    <w:rsid w:val="00E825C4"/>
    <w:rsid w:val="00E82A66"/>
    <w:rsid w:val="00E94D58"/>
    <w:rsid w:val="00E9650C"/>
    <w:rsid w:val="00EA3A72"/>
    <w:rsid w:val="00EA44A7"/>
    <w:rsid w:val="00EA511C"/>
    <w:rsid w:val="00EA7570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402"/>
    <w:rsid w:val="00ED4A14"/>
    <w:rsid w:val="00ED7F32"/>
    <w:rsid w:val="00EE3D23"/>
    <w:rsid w:val="00EE6336"/>
    <w:rsid w:val="00EE7D38"/>
    <w:rsid w:val="00EF4112"/>
    <w:rsid w:val="00EF43FA"/>
    <w:rsid w:val="00EF4669"/>
    <w:rsid w:val="00EF77D5"/>
    <w:rsid w:val="00F02C87"/>
    <w:rsid w:val="00F0387C"/>
    <w:rsid w:val="00F03F13"/>
    <w:rsid w:val="00F069BC"/>
    <w:rsid w:val="00F1534D"/>
    <w:rsid w:val="00F15521"/>
    <w:rsid w:val="00F15E40"/>
    <w:rsid w:val="00F16952"/>
    <w:rsid w:val="00F245B1"/>
    <w:rsid w:val="00F256F3"/>
    <w:rsid w:val="00F26DFB"/>
    <w:rsid w:val="00F3186B"/>
    <w:rsid w:val="00F331EB"/>
    <w:rsid w:val="00F343F1"/>
    <w:rsid w:val="00F3515A"/>
    <w:rsid w:val="00F369BF"/>
    <w:rsid w:val="00F40D8A"/>
    <w:rsid w:val="00F46376"/>
    <w:rsid w:val="00F4732E"/>
    <w:rsid w:val="00F51111"/>
    <w:rsid w:val="00F52BFB"/>
    <w:rsid w:val="00F53982"/>
    <w:rsid w:val="00F55394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5CF3"/>
    <w:rsid w:val="00F770F4"/>
    <w:rsid w:val="00F77BE1"/>
    <w:rsid w:val="00F80DC2"/>
    <w:rsid w:val="00F811A5"/>
    <w:rsid w:val="00F81A6D"/>
    <w:rsid w:val="00F82936"/>
    <w:rsid w:val="00F9203E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6299</Words>
  <Characters>35910</Characters>
  <Application>Microsoft Office Word</Application>
  <DocSecurity>0</DocSecurity>
  <Lines>299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39</cp:revision>
  <cp:lastPrinted>2024-10-03T07:40:00Z</cp:lastPrinted>
  <dcterms:created xsi:type="dcterms:W3CDTF">2024-09-06T07:00:00Z</dcterms:created>
  <dcterms:modified xsi:type="dcterms:W3CDTF">2024-10-03T10:50:00Z</dcterms:modified>
</cp:coreProperties>
</file>