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6B60F428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>ZA OCJENJIVANJE</w:t>
      </w:r>
    </w:p>
    <w:p w14:paraId="01A00228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309C917A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1A129F1E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14:paraId="718441BA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5D68317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68412BA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7777777"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77777777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77777777"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14EEDB81" w14:textId="77777777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666BA094" w14:textId="77777777"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14:paraId="49FC2E4F" w14:textId="77777777"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14:paraId="6A897B71" w14:textId="77777777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56E174DE" w14:textId="2D07B1AC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</w:t>
      </w:r>
      <w:r w:rsidR="00A52E58">
        <w:rPr>
          <w:rFonts w:cstheme="minorHAnsi"/>
          <w:sz w:val="24"/>
          <w:szCs w:val="24"/>
        </w:rPr>
        <w:t>ca</w:t>
      </w:r>
      <w:r w:rsidRPr="00BA5A6D">
        <w:rPr>
          <w:rFonts w:cstheme="minorHAnsi"/>
          <w:sz w:val="24"/>
          <w:szCs w:val="24"/>
        </w:rPr>
        <w:t xml:space="preserve"> Grada Novske  donosi Odluku o dodjeli financijskih </w:t>
      </w:r>
      <w:r w:rsidR="008B0E2B">
        <w:rPr>
          <w:rFonts w:cstheme="minorHAnsi"/>
          <w:sz w:val="24"/>
          <w:szCs w:val="24"/>
        </w:rPr>
        <w:t>sredstava udrugama koje će u 202</w:t>
      </w:r>
      <w:r w:rsidR="00D715C7">
        <w:rPr>
          <w:rFonts w:cstheme="minorHAnsi"/>
          <w:sz w:val="24"/>
          <w:szCs w:val="24"/>
        </w:rPr>
        <w:t>5</w:t>
      </w:r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7149BE">
        <w:rPr>
          <w:rFonts w:cstheme="minorHAnsi"/>
          <w:sz w:val="24"/>
          <w:szCs w:val="24"/>
        </w:rPr>
        <w:t xml:space="preserve"> </w:t>
      </w:r>
      <w:r w:rsidR="00FA6FB9" w:rsidRPr="00BA5A6D">
        <w:rPr>
          <w:rFonts w:cstheme="minorHAnsi"/>
          <w:sz w:val="24"/>
          <w:szCs w:val="24"/>
        </w:rPr>
        <w:t>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030D6C"/>
    <w:rsid w:val="00092A83"/>
    <w:rsid w:val="000A05D0"/>
    <w:rsid w:val="00146730"/>
    <w:rsid w:val="00167B6C"/>
    <w:rsid w:val="002E2EC7"/>
    <w:rsid w:val="0035779D"/>
    <w:rsid w:val="0037042C"/>
    <w:rsid w:val="003A5762"/>
    <w:rsid w:val="004135F8"/>
    <w:rsid w:val="00433E92"/>
    <w:rsid w:val="004775C3"/>
    <w:rsid w:val="00536A59"/>
    <w:rsid w:val="005A6701"/>
    <w:rsid w:val="00616FD8"/>
    <w:rsid w:val="00631559"/>
    <w:rsid w:val="006F6198"/>
    <w:rsid w:val="007149BE"/>
    <w:rsid w:val="00753E40"/>
    <w:rsid w:val="008742DF"/>
    <w:rsid w:val="008B0E2B"/>
    <w:rsid w:val="009122C5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9197F"/>
    <w:rsid w:val="00CA3CAF"/>
    <w:rsid w:val="00CB3B96"/>
    <w:rsid w:val="00D05237"/>
    <w:rsid w:val="00D70B23"/>
    <w:rsid w:val="00D715C7"/>
    <w:rsid w:val="00D9445D"/>
    <w:rsid w:val="00DA3882"/>
    <w:rsid w:val="00E1684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EB11-B935-4C14-AEB9-0289F520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dcterms:created xsi:type="dcterms:W3CDTF">2025-01-09T13:11:00Z</dcterms:created>
  <dcterms:modified xsi:type="dcterms:W3CDTF">2025-01-09T13:11:00Z</dcterms:modified>
</cp:coreProperties>
</file>